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42A9" w14:textId="77777777" w:rsidR="00A05EE7" w:rsidRPr="00A05EE7" w:rsidRDefault="00A05EE7" w:rsidP="00A05EE7">
      <w:pPr>
        <w:pStyle w:val="Header"/>
        <w:jc w:val="center"/>
        <w:rPr>
          <w:b/>
          <w:sz w:val="24"/>
          <w:szCs w:val="24"/>
        </w:rPr>
      </w:pPr>
      <w:r w:rsidRPr="00A05EE7">
        <w:rPr>
          <w:b/>
          <w:sz w:val="24"/>
          <w:szCs w:val="24"/>
        </w:rPr>
        <w:t>Capacity Determination Resource</w:t>
      </w:r>
    </w:p>
    <w:p w14:paraId="5AF3219D" w14:textId="77777777" w:rsidR="00A05EE7" w:rsidRPr="00A05EE7" w:rsidRDefault="00A05EE7" w:rsidP="00A05EE7">
      <w:pPr>
        <w:widowControl w:val="0"/>
        <w:autoSpaceDE w:val="0"/>
        <w:autoSpaceDN w:val="0"/>
        <w:adjustRightInd w:val="0"/>
        <w:spacing w:after="120"/>
        <w:jc w:val="center"/>
        <w:rPr>
          <w:b/>
          <w:bCs/>
          <w:color w:val="000000" w:themeColor="text1"/>
          <w:sz w:val="24"/>
          <w:szCs w:val="24"/>
        </w:rPr>
      </w:pPr>
    </w:p>
    <w:p w14:paraId="3C5D642B" w14:textId="77777777" w:rsidR="00A05EE7" w:rsidRPr="00A05EE7" w:rsidRDefault="00A05EE7" w:rsidP="00A05EE7">
      <w:pPr>
        <w:widowControl w:val="0"/>
        <w:autoSpaceDE w:val="0"/>
        <w:autoSpaceDN w:val="0"/>
        <w:adjustRightInd w:val="0"/>
        <w:spacing w:after="120"/>
        <w:jc w:val="center"/>
        <w:rPr>
          <w:rFonts w:ascii="MS Mincho" w:eastAsia="MS Mincho" w:hAnsi="MS Mincho" w:cs="MS Mincho"/>
          <w:b/>
          <w:bCs/>
          <w:iCs/>
          <w:color w:val="000000" w:themeColor="text1"/>
          <w:sz w:val="24"/>
          <w:szCs w:val="24"/>
        </w:rPr>
      </w:pPr>
      <w:r w:rsidRPr="00A05EE7">
        <w:rPr>
          <w:b/>
          <w:bCs/>
          <w:color w:val="000000" w:themeColor="text1"/>
          <w:sz w:val="24"/>
          <w:szCs w:val="24"/>
        </w:rPr>
        <w:t xml:space="preserve">F600 </w:t>
      </w:r>
      <w:r w:rsidRPr="00A05EE7">
        <w:rPr>
          <w:b/>
          <w:bCs/>
          <w:iCs/>
          <w:color w:val="000000" w:themeColor="text1"/>
          <w:sz w:val="24"/>
          <w:szCs w:val="24"/>
        </w:rPr>
        <w:t>§483.12 Freedom from Abuse, Neglect, and Exploitation</w:t>
      </w:r>
      <w:r w:rsidRPr="00A05EE7">
        <w:rPr>
          <w:rFonts w:ascii="MS Mincho" w:eastAsia="MS Mincho" w:hAnsi="MS Mincho" w:cs="MS Mincho"/>
          <w:b/>
          <w:bCs/>
          <w:iCs/>
          <w:color w:val="000000" w:themeColor="text1"/>
          <w:sz w:val="24"/>
          <w:szCs w:val="24"/>
        </w:rPr>
        <w:t> </w:t>
      </w:r>
    </w:p>
    <w:p w14:paraId="65D8A12E" w14:textId="77777777" w:rsidR="00A05EE7" w:rsidRPr="00A05EE7" w:rsidRDefault="00A05EE7" w:rsidP="00A05EE7">
      <w:pPr>
        <w:widowControl w:val="0"/>
        <w:autoSpaceDE w:val="0"/>
        <w:autoSpaceDN w:val="0"/>
        <w:adjustRightInd w:val="0"/>
        <w:spacing w:after="120"/>
        <w:jc w:val="center"/>
        <w:rPr>
          <w:color w:val="000000" w:themeColor="text1"/>
          <w:sz w:val="24"/>
          <w:szCs w:val="24"/>
        </w:rPr>
      </w:pPr>
      <w:r w:rsidRPr="00A05EE7">
        <w:rPr>
          <w:b/>
          <w:bCs/>
          <w:color w:val="000000" w:themeColor="text1"/>
          <w:sz w:val="24"/>
          <w:szCs w:val="24"/>
        </w:rPr>
        <w:t>Effective November 28, 2017</w:t>
      </w:r>
    </w:p>
    <w:p w14:paraId="42AC6091" w14:textId="77777777" w:rsidR="00A05EE7" w:rsidRPr="00A05EE7" w:rsidRDefault="00A05EE7" w:rsidP="00A05EE7">
      <w:pPr>
        <w:widowControl w:val="0"/>
        <w:autoSpaceDE w:val="0"/>
        <w:autoSpaceDN w:val="0"/>
        <w:adjustRightInd w:val="0"/>
        <w:spacing w:after="120"/>
        <w:jc w:val="center"/>
        <w:rPr>
          <w:color w:val="000000" w:themeColor="text1"/>
          <w:sz w:val="24"/>
          <w:szCs w:val="24"/>
        </w:rPr>
      </w:pPr>
    </w:p>
    <w:p w14:paraId="6A016201"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b/>
          <w:bCs/>
          <w:iCs/>
          <w:color w:val="000000" w:themeColor="text1"/>
          <w:sz w:val="24"/>
          <w:szCs w:val="24"/>
        </w:rPr>
        <w:t>Capacity and Consent – Example of Capacity Determination for Sexual Activity</w:t>
      </w:r>
    </w:p>
    <w:p w14:paraId="5219BD91"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Residents have the right to engage in consensual sexual activity. However, anytime the facility has reason to suspect that a resident may not have the capacity to consent to sexual activity, the facility must ensure the resident is evaluated for capacity to consent. Residents without the capacity to consent to sexual activity may not engage in sexual activity. </w:t>
      </w:r>
    </w:p>
    <w:p w14:paraId="408A5185"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b/>
          <w:bCs/>
          <w:iCs/>
          <w:color w:val="000000" w:themeColor="text1"/>
          <w:sz w:val="24"/>
          <w:szCs w:val="24"/>
        </w:rPr>
        <w:t>NOTE</w:t>
      </w:r>
      <w:r w:rsidRPr="00A05EE7">
        <w:rPr>
          <w:iCs/>
          <w:color w:val="000000" w:themeColor="text1"/>
          <w:sz w:val="24"/>
          <w:szCs w:val="24"/>
        </w:rPr>
        <w:t xml:space="preserve">: For information related to determining consent, refer to </w:t>
      </w:r>
      <w:r w:rsidRPr="00A05EE7">
        <w:rPr>
          <w:iCs/>
          <w:color w:val="000000" w:themeColor="text1"/>
          <w:sz w:val="24"/>
          <w:szCs w:val="24"/>
          <w:u w:val="single"/>
        </w:rPr>
        <w:t>“Assessment of Older Adults with Diminished Capacity: A Handbook for Psychologists”</w:t>
      </w:r>
      <w:r w:rsidRPr="00A05EE7">
        <w:rPr>
          <w:iCs/>
          <w:color w:val="000000" w:themeColor="text1"/>
          <w:sz w:val="24"/>
          <w:szCs w:val="24"/>
        </w:rPr>
        <w:t xml:space="preserve"> - © American Bar Association Commission on Law and Aging – American Psychological Association, located at http://www.apa.org/pi/aging/programs/assessment/capacity-psychologist-handbook.pdf </w:t>
      </w:r>
    </w:p>
    <w:p w14:paraId="15664019"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This resource includes a discussion on determining issues related to determining consent including: </w:t>
      </w:r>
    </w:p>
    <w:p w14:paraId="0EB5BE53"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The legal standards and criteria for sexual consent vary across states (</w:t>
      </w:r>
      <w:proofErr w:type="spellStart"/>
      <w:r w:rsidRPr="00A05EE7">
        <w:rPr>
          <w:iCs/>
          <w:color w:val="000000" w:themeColor="text1"/>
          <w:sz w:val="24"/>
          <w:szCs w:val="24"/>
        </w:rPr>
        <w:t>Lyden</w:t>
      </w:r>
      <w:proofErr w:type="spellEnd"/>
      <w:r w:rsidRPr="00A05EE7">
        <w:rPr>
          <w:iCs/>
          <w:color w:val="000000" w:themeColor="text1"/>
          <w:sz w:val="24"/>
          <w:szCs w:val="24"/>
        </w:rPr>
        <w:t xml:space="preserve">, 2007; </w:t>
      </w:r>
      <w:proofErr w:type="spellStart"/>
      <w:r w:rsidRPr="00A05EE7">
        <w:rPr>
          <w:iCs/>
          <w:color w:val="000000" w:themeColor="text1"/>
          <w:sz w:val="24"/>
          <w:szCs w:val="24"/>
        </w:rPr>
        <w:t>Stavis</w:t>
      </w:r>
      <w:proofErr w:type="spellEnd"/>
      <w:r w:rsidRPr="00A05EE7">
        <w:rPr>
          <w:iCs/>
          <w:color w:val="000000" w:themeColor="text1"/>
          <w:sz w:val="24"/>
          <w:szCs w:val="24"/>
        </w:rPr>
        <w:t xml:space="preserve"> et al., 1999). The most widely accepted criteria, which are consistent with those applied to consent to treatment, are: (1) knowledge of relevant information, including risks and benefits; (2) understanding or rational reasoning that reveals a decision that is consistent with the individual’s values (competence); and (3) voluntariness (a stated choice without coercion) (</w:t>
      </w:r>
      <w:proofErr w:type="spellStart"/>
      <w:r w:rsidRPr="00A05EE7">
        <w:rPr>
          <w:iCs/>
          <w:color w:val="000000" w:themeColor="text1"/>
          <w:sz w:val="24"/>
          <w:szCs w:val="24"/>
        </w:rPr>
        <w:t>Grisso</w:t>
      </w:r>
      <w:proofErr w:type="spellEnd"/>
      <w:r w:rsidRPr="00A05EE7">
        <w:rPr>
          <w:iCs/>
          <w:color w:val="000000" w:themeColor="text1"/>
          <w:sz w:val="24"/>
          <w:szCs w:val="24"/>
        </w:rPr>
        <w:t xml:space="preserve">, 2003; Kennedy, 1999; </w:t>
      </w:r>
      <w:proofErr w:type="spellStart"/>
      <w:r w:rsidRPr="00A05EE7">
        <w:rPr>
          <w:iCs/>
          <w:color w:val="000000" w:themeColor="text1"/>
          <w:sz w:val="24"/>
          <w:szCs w:val="24"/>
        </w:rPr>
        <w:t>Stavis</w:t>
      </w:r>
      <w:proofErr w:type="spellEnd"/>
      <w:r w:rsidRPr="00A05EE7">
        <w:rPr>
          <w:iCs/>
          <w:color w:val="000000" w:themeColor="text1"/>
          <w:sz w:val="24"/>
          <w:szCs w:val="24"/>
        </w:rPr>
        <w:t xml:space="preserve">, 1991; </w:t>
      </w:r>
      <w:proofErr w:type="spellStart"/>
      <w:r w:rsidRPr="00A05EE7">
        <w:rPr>
          <w:iCs/>
          <w:color w:val="000000" w:themeColor="text1"/>
          <w:sz w:val="24"/>
          <w:szCs w:val="24"/>
        </w:rPr>
        <w:t>Stavis</w:t>
      </w:r>
      <w:proofErr w:type="spellEnd"/>
      <w:r w:rsidRPr="00A05EE7">
        <w:rPr>
          <w:iCs/>
          <w:color w:val="000000" w:themeColor="text1"/>
          <w:sz w:val="24"/>
          <w:szCs w:val="24"/>
        </w:rPr>
        <w:t xml:space="preserve"> et al., 1999; </w:t>
      </w:r>
      <w:proofErr w:type="spellStart"/>
      <w:r w:rsidRPr="00A05EE7">
        <w:rPr>
          <w:iCs/>
          <w:color w:val="000000" w:themeColor="text1"/>
          <w:sz w:val="24"/>
          <w:szCs w:val="24"/>
        </w:rPr>
        <w:t>Sundram</w:t>
      </w:r>
      <w:proofErr w:type="spellEnd"/>
      <w:r w:rsidRPr="00A05EE7">
        <w:rPr>
          <w:iCs/>
          <w:color w:val="000000" w:themeColor="text1"/>
          <w:sz w:val="24"/>
          <w:szCs w:val="24"/>
        </w:rPr>
        <w:t xml:space="preserve"> et al., 1993). </w:t>
      </w:r>
    </w:p>
    <w:p w14:paraId="6D533551"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When investigating an allegation of sexual abuse, the facility must conduct a thorough investigation to determine the facts specific to the case investigated, including whether the resident had the capacity to consent and whether the resident actually consented to the sexual activity. A resident’s voluntary engagement in sexual activity may appear to mean consent to the activity; in these instances, if the facility has reason to suspect that the resident may not have the capacity to consent, the facility must protect the resident from potential sexual abuse while the investigation is in progress. </w:t>
      </w:r>
    </w:p>
    <w:p w14:paraId="2C3142FD"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highlight w:val="yellow"/>
        </w:rPr>
        <w:t>Determinations of capacity to consent depend on the context of the issue and one determination does not necessarily apply to all decisions made by the resident.</w:t>
      </w:r>
      <w:r w:rsidRPr="00A05EE7">
        <w:rPr>
          <w:iCs/>
          <w:color w:val="000000" w:themeColor="text1"/>
          <w:sz w:val="24"/>
          <w:szCs w:val="24"/>
        </w:rPr>
        <w:t xml:space="preserve"> For example, the resident may not have the capacity to make decisions regarding medical treatment, but may have the capacity to make decisions on daily activities (e.g., when to wake up in the morning, what activities to engage in). Determinations of capacity in this context are complex and cannot necessarily be based on a resident’s diagnosis alone. </w:t>
      </w:r>
      <w:r w:rsidRPr="00A05EE7">
        <w:rPr>
          <w:iCs/>
          <w:color w:val="000000" w:themeColor="text1"/>
          <w:sz w:val="24"/>
          <w:szCs w:val="24"/>
          <w:highlight w:val="yellow"/>
        </w:rPr>
        <w:t>Capacity on its most basic level means that a resident has the ability to understand potential consequences and choose a course of action for a given situation.</w:t>
      </w:r>
      <w:r w:rsidRPr="00A05EE7">
        <w:rPr>
          <w:iCs/>
          <w:color w:val="000000" w:themeColor="text1"/>
          <w:sz w:val="24"/>
          <w:szCs w:val="24"/>
        </w:rPr>
        <w:t xml:space="preserve"> Decisions of capacity to consent to sexual activity must balance considerations of safety and resident autonomy, and capacity determinations must be consistent with State law, if applicable. </w:t>
      </w:r>
      <w:r w:rsidRPr="00A05EE7">
        <w:rPr>
          <w:iCs/>
          <w:color w:val="000000" w:themeColor="text1"/>
          <w:sz w:val="24"/>
          <w:szCs w:val="24"/>
          <w:highlight w:val="yellow"/>
        </w:rPr>
        <w:t>The facility’s policies, procedures and protocols, should identify when, how, and by whom determinations of capacity to consent to a sexual contact will be made and where this documentation will be recorded.</w:t>
      </w:r>
      <w:r w:rsidRPr="00A05EE7">
        <w:rPr>
          <w:iCs/>
          <w:color w:val="000000" w:themeColor="text1"/>
          <w:sz w:val="24"/>
          <w:szCs w:val="24"/>
        </w:rPr>
        <w:t xml:space="preserve"> See also 42 CFR 483.10(f) [F561] for concerns related to the resident’s right to self-determination through support of resident choice, and 42 CFR </w:t>
      </w:r>
    </w:p>
    <w:p w14:paraId="78E3A060"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lastRenderedPageBreak/>
        <w:t>483.10(b)(</w:t>
      </w:r>
      <w:proofErr w:type="gramStart"/>
      <w:r w:rsidRPr="00A05EE7">
        <w:rPr>
          <w:iCs/>
          <w:color w:val="000000" w:themeColor="text1"/>
          <w:sz w:val="24"/>
          <w:szCs w:val="24"/>
        </w:rPr>
        <w:t>3)-(</w:t>
      </w:r>
      <w:proofErr w:type="gramEnd"/>
      <w:r w:rsidRPr="00A05EE7">
        <w:rPr>
          <w:iCs/>
          <w:color w:val="000000" w:themeColor="text1"/>
          <w:sz w:val="24"/>
          <w:szCs w:val="24"/>
        </w:rPr>
        <w:t xml:space="preserve">7) [F551] for concerns related to the exercise of the resident’s rights by the resident representative. </w:t>
      </w:r>
    </w:p>
    <w:p w14:paraId="4F8C731E"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b/>
          <w:bCs/>
          <w:iCs/>
          <w:color w:val="000000" w:themeColor="text1"/>
          <w:sz w:val="24"/>
          <w:szCs w:val="24"/>
        </w:rPr>
        <w:t>NOTE</w:t>
      </w:r>
      <w:r w:rsidRPr="00A05EE7">
        <w:rPr>
          <w:iCs/>
          <w:color w:val="000000" w:themeColor="text1"/>
          <w:sz w:val="24"/>
          <w:szCs w:val="24"/>
        </w:rPr>
        <w:t xml:space="preserve">: CMS is not requiring facilities to adopt a specific approach in determining a resident’s capacity to consent. However, the facility administration, nursing and medical director may wish to consider establishing an ethics committee, that includes legal consultation, in order to assist in the development and implementation of policy related to aspects of quality of life and/or care, advance directives, intimacy and relationships. </w:t>
      </w:r>
    </w:p>
    <w:p w14:paraId="5A2923A2"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Cognitive functioning may change due to health issues such as, but not limited to stroke, dementia, depression/psychiatric illnesses or other impacts such as medication(s), hearing/visual loss, and stress. </w:t>
      </w:r>
      <w:r w:rsidRPr="00A05EE7">
        <w:rPr>
          <w:iCs/>
          <w:color w:val="000000" w:themeColor="text1"/>
          <w:sz w:val="24"/>
          <w:szCs w:val="24"/>
          <w:highlight w:val="yellow"/>
        </w:rPr>
        <w:t>Therefore, the facility should continue to monitor and re-evaluate a resident’s capacity to consent over time, as needed, based on the individual resident’s physical, mental and psycho-social needs.</w:t>
      </w:r>
      <w:r w:rsidRPr="00A05EE7">
        <w:rPr>
          <w:iCs/>
          <w:color w:val="000000" w:themeColor="text1"/>
          <w:sz w:val="24"/>
          <w:szCs w:val="24"/>
        </w:rPr>
        <w:t xml:space="preserve"> See also 42 CFR 483.10(g</w:t>
      </w:r>
      <w:proofErr w:type="gramStart"/>
      <w:r w:rsidRPr="00A05EE7">
        <w:rPr>
          <w:iCs/>
          <w:color w:val="000000" w:themeColor="text1"/>
          <w:sz w:val="24"/>
          <w:szCs w:val="24"/>
        </w:rPr>
        <w:t>)(</w:t>
      </w:r>
      <w:proofErr w:type="gramEnd"/>
      <w:r w:rsidRPr="00A05EE7">
        <w:rPr>
          <w:iCs/>
          <w:color w:val="000000" w:themeColor="text1"/>
          <w:sz w:val="24"/>
          <w:szCs w:val="24"/>
        </w:rPr>
        <w:t xml:space="preserve">14) [F580-Notification of Changes]. </w:t>
      </w:r>
    </w:p>
    <w:p w14:paraId="7748E09B"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b/>
          <w:bCs/>
          <w:iCs/>
          <w:color w:val="000000" w:themeColor="text1"/>
          <w:sz w:val="24"/>
          <w:szCs w:val="24"/>
        </w:rPr>
        <w:t xml:space="preserve">Residents with Designated or Legally Appointed Representatives </w:t>
      </w:r>
    </w:p>
    <w:p w14:paraId="41DD8395"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A resident may have a representative that has been appointed legally under State law through, for example, a power of attorney, guardian, limited guardian, or conservatorship. These legal appointments vary in the degree that they empower the appointed representative to make decisions on behalf of the resident. </w:t>
      </w:r>
      <w:r w:rsidRPr="00A05EE7">
        <w:rPr>
          <w:iCs/>
          <w:color w:val="000000" w:themeColor="text1"/>
          <w:sz w:val="24"/>
          <w:szCs w:val="24"/>
          <w:highlight w:val="yellow"/>
        </w:rPr>
        <w:t xml:space="preserve">While a legal representative may have been empowered to make some decisions for a resident, it does not necessarily mean that the representative is empowered to make </w:t>
      </w:r>
      <w:r w:rsidRPr="00A05EE7">
        <w:rPr>
          <w:b/>
          <w:iCs/>
          <w:color w:val="000000" w:themeColor="text1"/>
          <w:sz w:val="24"/>
          <w:szCs w:val="24"/>
          <w:highlight w:val="yellow"/>
        </w:rPr>
        <w:t>all</w:t>
      </w:r>
      <w:r w:rsidRPr="00A05EE7">
        <w:rPr>
          <w:iCs/>
          <w:color w:val="000000" w:themeColor="text1"/>
          <w:sz w:val="24"/>
          <w:szCs w:val="24"/>
          <w:highlight w:val="yellow"/>
        </w:rPr>
        <w:t xml:space="preserve"> decisions for the resident.</w:t>
      </w:r>
      <w:r w:rsidRPr="00A05EE7">
        <w:rPr>
          <w:iCs/>
          <w:color w:val="000000" w:themeColor="text1"/>
          <w:sz w:val="24"/>
          <w:szCs w:val="24"/>
        </w:rPr>
        <w:t xml:space="preserve"> The individual arrangements for legal representation will have to be reviewed to determine the scope of authority of the representative on behalf of the resident. </w:t>
      </w:r>
    </w:p>
    <w:p w14:paraId="6A0DCCE8"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A resident may also have designated an individual to speak on his/her behalf for decisions for care or other issues. However, it is necessary for the resident, his/her representative and the facility to have a </w:t>
      </w:r>
      <w:r w:rsidRPr="00A05EE7">
        <w:rPr>
          <w:iCs/>
          <w:color w:val="000000" w:themeColor="text1"/>
          <w:sz w:val="24"/>
          <w:szCs w:val="24"/>
          <w:highlight w:val="yellow"/>
        </w:rPr>
        <w:t>clear understanding of the types and scope of decision- making authority</w:t>
      </w:r>
      <w:r w:rsidRPr="00A05EE7">
        <w:rPr>
          <w:iCs/>
          <w:color w:val="000000" w:themeColor="text1"/>
          <w:sz w:val="24"/>
          <w:szCs w:val="24"/>
        </w:rPr>
        <w:t xml:space="preserve"> the representative has been delegated. </w:t>
      </w:r>
    </w:p>
    <w:p w14:paraId="2E7AE20F"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Any decision-making power that is not legally granted to a representative under state law is retained by the resident. </w:t>
      </w:r>
      <w:r w:rsidRPr="00A05EE7">
        <w:rPr>
          <w:iCs/>
          <w:color w:val="000000" w:themeColor="text1"/>
          <w:sz w:val="24"/>
          <w:szCs w:val="24"/>
          <w:highlight w:val="yellow"/>
        </w:rPr>
        <w:t>It is the responsibility of the facility</w:t>
      </w:r>
      <w:r w:rsidRPr="00A05EE7">
        <w:rPr>
          <w:iCs/>
          <w:color w:val="000000" w:themeColor="text1"/>
          <w:sz w:val="24"/>
          <w:szCs w:val="24"/>
        </w:rPr>
        <w:t xml:space="preserve"> to ascertain what decisions the representative is legally empowered to make on behalf of the resident. </w:t>
      </w:r>
    </w:p>
    <w:p w14:paraId="3B3F2401"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rPr>
        <w:t xml:space="preserve">More specifically, regarding consent for sexual activity, State law and the legal instruments setting up resident representation may be silent on that topic. The facility must be aware of the representative’s scope of authority regarding resident decision-making. </w:t>
      </w:r>
    </w:p>
    <w:p w14:paraId="005509F1"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iCs/>
          <w:color w:val="000000" w:themeColor="text1"/>
          <w:sz w:val="24"/>
          <w:szCs w:val="24"/>
          <w:highlight w:val="yellow"/>
        </w:rPr>
        <w:t>When a resident with capacity to consent to sexual activity and his/her representative disagree about the resident engaging in sexual activity, the facility must honor the resident’s wishes irrespective of that disagreement if the representative’s legal authority does not address that type of decision-making for sexual activity.</w:t>
      </w:r>
      <w:r w:rsidRPr="00A05EE7">
        <w:rPr>
          <w:iCs/>
          <w:color w:val="000000" w:themeColor="text1"/>
          <w:sz w:val="24"/>
          <w:szCs w:val="24"/>
        </w:rPr>
        <w:t xml:space="preserve"> If the resident representative’s legal authority addresses decision-making for sexual activity, then the facility must honor the resident representative’s decision consistent with 42 CFR 483.10(b). </w:t>
      </w:r>
    </w:p>
    <w:p w14:paraId="596B1247" w14:textId="77777777" w:rsidR="00A05EE7" w:rsidRPr="00A05EE7" w:rsidRDefault="00A05EE7" w:rsidP="00A05EE7">
      <w:pPr>
        <w:widowControl w:val="0"/>
        <w:autoSpaceDE w:val="0"/>
        <w:autoSpaceDN w:val="0"/>
        <w:adjustRightInd w:val="0"/>
        <w:spacing w:after="120"/>
        <w:rPr>
          <w:color w:val="000000" w:themeColor="text1"/>
          <w:sz w:val="24"/>
          <w:szCs w:val="24"/>
        </w:rPr>
      </w:pPr>
      <w:r w:rsidRPr="00A05EE7">
        <w:rPr>
          <w:b/>
          <w:bCs/>
          <w:iCs/>
          <w:color w:val="000000" w:themeColor="text1"/>
          <w:sz w:val="24"/>
          <w:szCs w:val="24"/>
        </w:rPr>
        <w:t>NOTE</w:t>
      </w:r>
      <w:r w:rsidRPr="00A05EE7">
        <w:rPr>
          <w:iCs/>
          <w:color w:val="000000" w:themeColor="text1"/>
          <w:sz w:val="24"/>
          <w:szCs w:val="24"/>
        </w:rPr>
        <w:t xml:space="preserve">: See F551 at 42 CFR 483.10(b)(6)- If the facility has reason to believe that a resident representative is making decisions or taking actions that are not in the best interests of a resident, the facility shall report such concerns in the manner required under State law. </w:t>
      </w:r>
    </w:p>
    <w:p w14:paraId="7BA922AE" w14:textId="77777777" w:rsidR="00A05EE7" w:rsidRPr="00A05EE7" w:rsidRDefault="00A05EE7" w:rsidP="00A05EE7">
      <w:pPr>
        <w:spacing w:after="120"/>
        <w:jc w:val="center"/>
        <w:rPr>
          <w:color w:val="000000" w:themeColor="text1"/>
          <w:sz w:val="24"/>
          <w:szCs w:val="24"/>
        </w:rPr>
      </w:pPr>
    </w:p>
    <w:p w14:paraId="177F5ED8" w14:textId="77777777" w:rsidR="00A05EE7" w:rsidRPr="00A05EE7" w:rsidRDefault="00A05EE7" w:rsidP="00A05EE7">
      <w:pPr>
        <w:spacing w:after="120"/>
        <w:jc w:val="center"/>
        <w:rPr>
          <w:b/>
          <w:color w:val="000000" w:themeColor="text1"/>
          <w:sz w:val="24"/>
          <w:szCs w:val="24"/>
        </w:rPr>
      </w:pPr>
      <w:r w:rsidRPr="00A05EE7">
        <w:rPr>
          <w:b/>
          <w:color w:val="000000" w:themeColor="text1"/>
          <w:sz w:val="24"/>
          <w:szCs w:val="24"/>
        </w:rPr>
        <w:lastRenderedPageBreak/>
        <w:t>TYPES OF CAPACITY and CRITERIA</w:t>
      </w:r>
    </w:p>
    <w:p w14:paraId="0C6655D8" w14:textId="77777777" w:rsidR="00A05EE7" w:rsidRPr="00A05EE7" w:rsidRDefault="00A05EE7" w:rsidP="00A05EE7">
      <w:pPr>
        <w:spacing w:after="120"/>
        <w:jc w:val="center"/>
        <w:rPr>
          <w:b/>
          <w:color w:val="000000" w:themeColor="text1"/>
          <w:sz w:val="24"/>
          <w:szCs w:val="24"/>
        </w:rPr>
      </w:pPr>
      <w:r w:rsidRPr="00A05EE7">
        <w:rPr>
          <w:b/>
          <w:color w:val="000000" w:themeColor="text1"/>
          <w:sz w:val="24"/>
          <w:szCs w:val="24"/>
        </w:rPr>
        <w:t>LEGAL DEFINITIONS</w:t>
      </w:r>
    </w:p>
    <w:p w14:paraId="4CF7FCFC" w14:textId="77777777" w:rsidR="00A05EE7" w:rsidRPr="00A05EE7" w:rsidRDefault="00A05EE7" w:rsidP="00A05EE7">
      <w:pPr>
        <w:spacing w:after="120"/>
        <w:rPr>
          <w:color w:val="000000" w:themeColor="text1"/>
          <w:sz w:val="24"/>
          <w:szCs w:val="24"/>
        </w:rPr>
      </w:pPr>
    </w:p>
    <w:p w14:paraId="60B12E41" w14:textId="77777777" w:rsidR="00A05EE7" w:rsidRPr="00A05EE7" w:rsidRDefault="00A05EE7" w:rsidP="00A05EE7">
      <w:pPr>
        <w:pStyle w:val="ListParagraph"/>
        <w:numPr>
          <w:ilvl w:val="0"/>
          <w:numId w:val="49"/>
        </w:numPr>
        <w:spacing w:after="120" w:line="276" w:lineRule="auto"/>
        <w:rPr>
          <w:b/>
          <w:bCs/>
          <w:color w:val="000000"/>
          <w:sz w:val="24"/>
          <w:szCs w:val="24"/>
        </w:rPr>
      </w:pPr>
      <w:r w:rsidRPr="00A05EE7">
        <w:rPr>
          <w:b/>
          <w:bCs/>
          <w:color w:val="000000"/>
          <w:sz w:val="24"/>
          <w:szCs w:val="24"/>
        </w:rPr>
        <w:t>Capacity to give informed consent:</w:t>
      </w:r>
    </w:p>
    <w:p w14:paraId="0848643C"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nature of illness and treatment/circumstance </w:t>
      </w:r>
    </w:p>
    <w:p w14:paraId="5C3A057F"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risks and benefits of treatment/interventions </w:t>
      </w:r>
    </w:p>
    <w:p w14:paraId="38F1BFB7"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treatment/intervention alternatives </w:t>
      </w:r>
    </w:p>
    <w:p w14:paraId="2D549C82"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risk of refusing treatment/intervention</w:t>
      </w:r>
    </w:p>
    <w:p w14:paraId="2204F694" w14:textId="77777777" w:rsidR="00A05EE7" w:rsidRPr="00A05EE7" w:rsidRDefault="00A05EE7" w:rsidP="00A05EE7">
      <w:pPr>
        <w:pStyle w:val="ListParagraph"/>
        <w:spacing w:after="120" w:line="276" w:lineRule="auto"/>
        <w:ind w:left="1080"/>
        <w:rPr>
          <w:color w:val="000000"/>
          <w:sz w:val="24"/>
          <w:szCs w:val="24"/>
        </w:rPr>
      </w:pPr>
    </w:p>
    <w:p w14:paraId="33744CF4" w14:textId="77777777" w:rsidR="00A05EE7" w:rsidRPr="00A05EE7" w:rsidRDefault="00A05EE7" w:rsidP="00A05EE7">
      <w:pPr>
        <w:pStyle w:val="ListParagraph"/>
        <w:numPr>
          <w:ilvl w:val="0"/>
          <w:numId w:val="49"/>
        </w:numPr>
        <w:spacing w:after="120" w:line="276" w:lineRule="auto"/>
        <w:rPr>
          <w:color w:val="000000" w:themeColor="text1"/>
          <w:sz w:val="24"/>
          <w:szCs w:val="24"/>
        </w:rPr>
      </w:pPr>
      <w:r w:rsidRPr="00A05EE7">
        <w:rPr>
          <w:b/>
          <w:bCs/>
          <w:color w:val="000000"/>
          <w:sz w:val="24"/>
          <w:szCs w:val="24"/>
        </w:rPr>
        <w:t>Testamentary capacity:</w:t>
      </w:r>
    </w:p>
    <w:p w14:paraId="0FB90788"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that he/she is making a will </w:t>
      </w:r>
    </w:p>
    <w:p w14:paraId="4862AC8B"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Know the nature and extent of their property </w:t>
      </w:r>
    </w:p>
    <w:p w14:paraId="0C823CEC"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the “natural objects” of their bounty and their claims upon them</w:t>
      </w:r>
    </w:p>
    <w:p w14:paraId="7B67D6D7" w14:textId="77777777" w:rsidR="00A05EE7" w:rsidRPr="00A05EE7" w:rsidRDefault="00A05EE7" w:rsidP="00A05EE7">
      <w:pPr>
        <w:pStyle w:val="ListParagraph"/>
        <w:spacing w:after="120" w:line="276" w:lineRule="auto"/>
        <w:ind w:left="1080"/>
        <w:rPr>
          <w:color w:val="000000"/>
          <w:sz w:val="24"/>
          <w:szCs w:val="24"/>
        </w:rPr>
      </w:pPr>
    </w:p>
    <w:p w14:paraId="59A9DD48" w14:textId="77777777" w:rsidR="00A05EE7" w:rsidRPr="00A05EE7" w:rsidRDefault="00A05EE7" w:rsidP="00A05EE7">
      <w:pPr>
        <w:pStyle w:val="ListParagraph"/>
        <w:numPr>
          <w:ilvl w:val="0"/>
          <w:numId w:val="49"/>
        </w:numPr>
        <w:spacing w:after="120" w:line="276" w:lineRule="auto"/>
        <w:rPr>
          <w:b/>
          <w:bCs/>
          <w:color w:val="000000"/>
          <w:sz w:val="24"/>
          <w:szCs w:val="24"/>
        </w:rPr>
      </w:pPr>
      <w:r w:rsidRPr="00A05EE7">
        <w:rPr>
          <w:b/>
          <w:bCs/>
          <w:color w:val="000000"/>
          <w:sz w:val="24"/>
          <w:szCs w:val="24"/>
        </w:rPr>
        <w:t>Contractual capacity:</w:t>
      </w:r>
    </w:p>
    <w:p w14:paraId="649AF1A4"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Understand the transaction </w:t>
      </w:r>
    </w:p>
    <w:p w14:paraId="2734FC4B" w14:textId="77777777" w:rsidR="00A05EE7" w:rsidRPr="00A05EE7" w:rsidRDefault="00A05EE7" w:rsidP="00A05EE7">
      <w:pPr>
        <w:pStyle w:val="ListParagraph"/>
        <w:numPr>
          <w:ilvl w:val="1"/>
          <w:numId w:val="49"/>
        </w:numPr>
        <w:spacing w:after="120" w:line="276" w:lineRule="auto"/>
        <w:rPr>
          <w:color w:val="000000"/>
          <w:sz w:val="24"/>
          <w:szCs w:val="24"/>
        </w:rPr>
      </w:pPr>
      <w:r w:rsidRPr="00A05EE7">
        <w:rPr>
          <w:color w:val="000000"/>
          <w:sz w:val="24"/>
          <w:szCs w:val="24"/>
        </w:rPr>
        <w:t>Act in a reasonable manner</w:t>
      </w:r>
    </w:p>
    <w:p w14:paraId="36BF8950" w14:textId="77777777" w:rsidR="00A05EE7" w:rsidRPr="00A05EE7" w:rsidRDefault="00A05EE7" w:rsidP="00A05EE7">
      <w:pPr>
        <w:spacing w:after="120"/>
        <w:rPr>
          <w:color w:val="000000" w:themeColor="text1"/>
          <w:sz w:val="24"/>
          <w:szCs w:val="24"/>
        </w:rPr>
      </w:pPr>
    </w:p>
    <w:p w14:paraId="6D038126" w14:textId="77777777" w:rsidR="00A05EE7" w:rsidRPr="00A05EE7" w:rsidRDefault="00A05EE7" w:rsidP="00A05EE7">
      <w:pPr>
        <w:spacing w:after="120"/>
        <w:jc w:val="center"/>
        <w:rPr>
          <w:color w:val="000000" w:themeColor="text1"/>
          <w:sz w:val="24"/>
          <w:szCs w:val="24"/>
        </w:rPr>
      </w:pPr>
      <w:r w:rsidRPr="00A05EE7">
        <w:rPr>
          <w:color w:val="000000" w:themeColor="text1"/>
          <w:sz w:val="24"/>
          <w:szCs w:val="24"/>
        </w:rPr>
        <w:t>***</w:t>
      </w:r>
    </w:p>
    <w:p w14:paraId="3A7E8CC3" w14:textId="77777777" w:rsidR="00A05EE7" w:rsidRPr="00A05EE7" w:rsidRDefault="00A05EE7" w:rsidP="00A05EE7">
      <w:pPr>
        <w:jc w:val="center"/>
        <w:rPr>
          <w:b/>
          <w:color w:val="000000"/>
          <w:sz w:val="24"/>
          <w:szCs w:val="24"/>
        </w:rPr>
      </w:pPr>
    </w:p>
    <w:p w14:paraId="23EAD55B" w14:textId="77777777" w:rsidR="00A05EE7" w:rsidRPr="00A05EE7" w:rsidRDefault="00A05EE7" w:rsidP="00A05EE7">
      <w:pPr>
        <w:rPr>
          <w:b/>
          <w:color w:val="000000"/>
          <w:sz w:val="24"/>
          <w:szCs w:val="24"/>
        </w:rPr>
      </w:pPr>
    </w:p>
    <w:p w14:paraId="0307C699" w14:textId="77777777" w:rsidR="00A05EE7" w:rsidRPr="00A05EE7" w:rsidRDefault="00A05EE7" w:rsidP="00A05EE7">
      <w:pPr>
        <w:jc w:val="center"/>
        <w:rPr>
          <w:b/>
          <w:color w:val="000000"/>
          <w:sz w:val="24"/>
          <w:szCs w:val="24"/>
        </w:rPr>
      </w:pPr>
      <w:r w:rsidRPr="00A05EE7">
        <w:rPr>
          <w:b/>
          <w:color w:val="000000"/>
          <w:sz w:val="24"/>
          <w:szCs w:val="24"/>
        </w:rPr>
        <w:t>DETERMINATION OF CAPACITY</w:t>
      </w:r>
    </w:p>
    <w:p w14:paraId="5C5A9A72" w14:textId="77777777" w:rsidR="00A05EE7" w:rsidRPr="00A05EE7" w:rsidRDefault="00A05EE7" w:rsidP="00A05EE7">
      <w:pPr>
        <w:jc w:val="center"/>
        <w:rPr>
          <w:b/>
          <w:color w:val="000000"/>
          <w:sz w:val="24"/>
          <w:szCs w:val="24"/>
        </w:rPr>
      </w:pPr>
      <w:r w:rsidRPr="00A05EE7">
        <w:rPr>
          <w:b/>
          <w:color w:val="000000"/>
          <w:sz w:val="24"/>
          <w:szCs w:val="24"/>
        </w:rPr>
        <w:t>Source:  NYS Family Health Care Decisions Act (FHCDA)</w:t>
      </w:r>
    </w:p>
    <w:p w14:paraId="1AE3F078" w14:textId="77777777" w:rsidR="00A05EE7" w:rsidRPr="00A05EE7" w:rsidRDefault="00A05EE7" w:rsidP="00A05EE7">
      <w:pPr>
        <w:jc w:val="center"/>
        <w:rPr>
          <w:b/>
          <w:color w:val="FF0000"/>
          <w:sz w:val="24"/>
          <w:szCs w:val="24"/>
        </w:rPr>
      </w:pPr>
      <w:r w:rsidRPr="00A05EE7">
        <w:rPr>
          <w:b/>
          <w:color w:val="FF0000"/>
          <w:sz w:val="24"/>
          <w:szCs w:val="24"/>
        </w:rPr>
        <w:t>SPECIFIC REGULATIONS FOR NEW YORK STATE ONLY</w:t>
      </w:r>
    </w:p>
    <w:p w14:paraId="358CE909" w14:textId="77777777" w:rsidR="00A05EE7" w:rsidRPr="00A05EE7" w:rsidRDefault="00A05EE7" w:rsidP="00A05EE7">
      <w:pPr>
        <w:rPr>
          <w:color w:val="000000"/>
          <w:sz w:val="24"/>
          <w:szCs w:val="24"/>
        </w:rPr>
      </w:pPr>
    </w:p>
    <w:p w14:paraId="79D4D602"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Presumption of Capacity.  Every adult shall be presumed to have decision-making capacity unless determined otherwise as set forth herein or by court order or the appointment of a guardian pursuant to Article 81 of the Mental Hygiene Law.</w:t>
      </w:r>
    </w:p>
    <w:p w14:paraId="7522FF76"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 xml:space="preserve">Determination by Attending Physician.  An initial determination of incapacity shall be made by the attending physician to a </w:t>
      </w:r>
      <w:r w:rsidRPr="00A05EE7">
        <w:rPr>
          <w:i/>
          <w:color w:val="000000"/>
          <w:sz w:val="24"/>
          <w:szCs w:val="24"/>
        </w:rPr>
        <w:t>reasonable degree of medical certainty</w:t>
      </w:r>
      <w:r w:rsidRPr="00A05EE7">
        <w:rPr>
          <w:color w:val="000000"/>
          <w:sz w:val="24"/>
          <w:szCs w:val="24"/>
        </w:rPr>
        <w:t>.  Such determination shall include an assessment of the cause and extent of the incapacity and the likelihood of regaining capacity.</w:t>
      </w:r>
    </w:p>
    <w:p w14:paraId="5AAF5211"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If the attending physician determines the incapacity is due to mental illness, such determination must be made by a physician licensed to practice medicine in New York State or is board certified or eligible in Neurology or Psychiatry and recorded in the medical record.  If the determination of incapacity is due to mental retardation or developmental disability, such determination shall be made by the attending physician or another qualified professional (either a physician or clinical psychologist) who is (</w:t>
      </w:r>
      <w:proofErr w:type="spellStart"/>
      <w:r w:rsidRPr="00A05EE7">
        <w:rPr>
          <w:color w:val="000000"/>
          <w:sz w:val="24"/>
          <w:szCs w:val="24"/>
        </w:rPr>
        <w:t>i</w:t>
      </w:r>
      <w:proofErr w:type="spellEnd"/>
      <w:r w:rsidRPr="00A05EE7">
        <w:rPr>
          <w:color w:val="000000"/>
          <w:sz w:val="24"/>
          <w:szCs w:val="24"/>
        </w:rPr>
        <w:t xml:space="preserve">) </w:t>
      </w:r>
      <w:r w:rsidRPr="00A05EE7">
        <w:rPr>
          <w:color w:val="000000"/>
          <w:sz w:val="24"/>
          <w:szCs w:val="24"/>
        </w:rPr>
        <w:lastRenderedPageBreak/>
        <w:t>employed by a school named in Mental Hygiene Law section 13.17; (ii) has been employed by a facility licensed by OMRDD for a minimum of two years, or (iii) has been approved by the Commissioner of Mental Retardation and Developmental Disabilities and recorded in the medical record.</w:t>
      </w:r>
    </w:p>
    <w:p w14:paraId="12EC4E4A"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Concurring determinations.  In a residential health care facility, a concurring determination of incapacity shall be independently made and documented in the medical record by a Health or Social Service Practitioner employed by or formally affiliated with the facility and credentialed to make such determinations.  Such determination shall include an assessment of the cause and extent of the incapacity and the likelihood of regaining capacity.  In a hospital, such concurring determinations shall only be required when a surrogate has decided to withhold or withdraw life sustaining treatment.  Disagreements which cannot be resolved on the determination of incapacity by the practitioner asked to render a second opinion shall be referred to the ethics review committee.</w:t>
      </w:r>
    </w:p>
    <w:p w14:paraId="0E8426E1"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Notice of incapacity determinations shall be made to the resident, if there is any indication of an ability to comprehend; at least one person on the surrogate list in the highest order of priority; to the director of the mental hygiene facility and Mental Hygiene Legal Service, if the Resident is from a Mental Hygiene Facility.</w:t>
      </w:r>
    </w:p>
    <w:p w14:paraId="7ED44FD7"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 xml:space="preserve">The resident’s objection to a finding of incapacity, the choice of a surrogate and a healthcare decision shall prevail unless: (a) </w:t>
      </w:r>
      <w:proofErr w:type="spellStart"/>
      <w:r w:rsidRPr="00A05EE7">
        <w:rPr>
          <w:color w:val="000000"/>
          <w:sz w:val="24"/>
          <w:szCs w:val="24"/>
        </w:rPr>
        <w:t>a</w:t>
      </w:r>
      <w:proofErr w:type="spellEnd"/>
      <w:r w:rsidRPr="00A05EE7">
        <w:rPr>
          <w:color w:val="000000"/>
          <w:sz w:val="24"/>
          <w:szCs w:val="24"/>
        </w:rPr>
        <w:t xml:space="preserve"> court of competent jurisdiction determines that the Resident lacks decision-making capacity or is incompetent and makes any other finding required by law to authorize treatment or (b) another legal basis exists for overriding the Resident’s decision.</w:t>
      </w:r>
    </w:p>
    <w:p w14:paraId="3207DD99" w14:textId="77777777" w:rsidR="00A05EE7" w:rsidRPr="00A05EE7" w:rsidRDefault="00A05EE7" w:rsidP="00A05EE7">
      <w:pPr>
        <w:numPr>
          <w:ilvl w:val="0"/>
          <w:numId w:val="50"/>
        </w:numPr>
        <w:spacing w:line="276" w:lineRule="auto"/>
        <w:rPr>
          <w:color w:val="000000"/>
          <w:sz w:val="24"/>
          <w:szCs w:val="24"/>
        </w:rPr>
      </w:pPr>
      <w:r w:rsidRPr="00A05EE7">
        <w:rPr>
          <w:color w:val="000000"/>
          <w:sz w:val="24"/>
          <w:szCs w:val="24"/>
        </w:rPr>
        <w:t>The resident’s continuing incapacity shall be confirmed before complying with any decisions made subsequent to the original determination.  Additionally, a concurring determination of continuing capacity shall be made for any decisions to withhold or withdraw life sustaining treatment.</w:t>
      </w:r>
    </w:p>
    <w:p w14:paraId="72CCFF09" w14:textId="77777777" w:rsidR="00A05EE7" w:rsidRPr="00A05EE7" w:rsidRDefault="00A05EE7" w:rsidP="00A05EE7">
      <w:pPr>
        <w:spacing w:line="276" w:lineRule="auto"/>
        <w:rPr>
          <w:color w:val="000000"/>
          <w:sz w:val="24"/>
          <w:szCs w:val="24"/>
        </w:rPr>
      </w:pPr>
    </w:p>
    <w:p w14:paraId="3D60EEE9" w14:textId="77777777" w:rsidR="00A05EE7" w:rsidRPr="00A05EE7" w:rsidRDefault="00A05EE7" w:rsidP="00A05EE7">
      <w:pPr>
        <w:spacing w:line="276" w:lineRule="auto"/>
        <w:jc w:val="center"/>
        <w:rPr>
          <w:b/>
          <w:color w:val="000000"/>
          <w:sz w:val="24"/>
          <w:szCs w:val="24"/>
        </w:rPr>
      </w:pPr>
    </w:p>
    <w:p w14:paraId="4ABA3730" w14:textId="77777777" w:rsidR="00A05EE7" w:rsidRPr="00A05EE7" w:rsidRDefault="00A05EE7" w:rsidP="00A05EE7">
      <w:pPr>
        <w:spacing w:line="276" w:lineRule="auto"/>
        <w:jc w:val="center"/>
        <w:rPr>
          <w:b/>
          <w:color w:val="000000"/>
          <w:sz w:val="24"/>
          <w:szCs w:val="24"/>
        </w:rPr>
      </w:pPr>
    </w:p>
    <w:p w14:paraId="64E3FE68" w14:textId="77777777" w:rsidR="00A05EE7" w:rsidRPr="00A05EE7" w:rsidRDefault="00A05EE7" w:rsidP="00A05EE7">
      <w:pPr>
        <w:spacing w:line="276" w:lineRule="auto"/>
        <w:jc w:val="center"/>
        <w:rPr>
          <w:b/>
          <w:color w:val="000000"/>
          <w:sz w:val="24"/>
          <w:szCs w:val="24"/>
        </w:rPr>
      </w:pPr>
    </w:p>
    <w:p w14:paraId="19A3D10C" w14:textId="77777777" w:rsidR="00A05EE7" w:rsidRPr="00A05EE7" w:rsidRDefault="00A05EE7" w:rsidP="00A05EE7">
      <w:pPr>
        <w:spacing w:line="276" w:lineRule="auto"/>
        <w:jc w:val="center"/>
        <w:rPr>
          <w:b/>
          <w:color w:val="000000"/>
          <w:sz w:val="24"/>
          <w:szCs w:val="24"/>
        </w:rPr>
      </w:pPr>
    </w:p>
    <w:p w14:paraId="3C97771A" w14:textId="77777777" w:rsidR="00A05EE7" w:rsidRPr="00A05EE7" w:rsidRDefault="00A05EE7" w:rsidP="00A05EE7">
      <w:pPr>
        <w:spacing w:line="276" w:lineRule="auto"/>
        <w:jc w:val="center"/>
        <w:rPr>
          <w:b/>
          <w:color w:val="000000"/>
          <w:sz w:val="24"/>
          <w:szCs w:val="24"/>
        </w:rPr>
      </w:pPr>
    </w:p>
    <w:p w14:paraId="19C0EDB3" w14:textId="77777777" w:rsidR="00A05EE7" w:rsidRPr="00A05EE7" w:rsidRDefault="00A05EE7" w:rsidP="00A05EE7">
      <w:pPr>
        <w:spacing w:line="276" w:lineRule="auto"/>
        <w:jc w:val="center"/>
        <w:rPr>
          <w:b/>
          <w:color w:val="000000"/>
          <w:sz w:val="24"/>
          <w:szCs w:val="24"/>
        </w:rPr>
      </w:pPr>
    </w:p>
    <w:p w14:paraId="196BA9EC" w14:textId="77777777" w:rsidR="00A05EE7" w:rsidRPr="00A05EE7" w:rsidRDefault="00A05EE7" w:rsidP="00A05EE7">
      <w:pPr>
        <w:spacing w:line="276" w:lineRule="auto"/>
        <w:jc w:val="center"/>
        <w:rPr>
          <w:b/>
          <w:color w:val="000000"/>
          <w:sz w:val="24"/>
          <w:szCs w:val="24"/>
        </w:rPr>
      </w:pPr>
    </w:p>
    <w:p w14:paraId="5262778F" w14:textId="77777777" w:rsidR="00A05EE7" w:rsidRPr="00A05EE7" w:rsidRDefault="00A05EE7" w:rsidP="00A05EE7">
      <w:pPr>
        <w:spacing w:line="276" w:lineRule="auto"/>
        <w:jc w:val="center"/>
        <w:rPr>
          <w:b/>
          <w:color w:val="000000"/>
          <w:sz w:val="24"/>
          <w:szCs w:val="24"/>
        </w:rPr>
      </w:pPr>
    </w:p>
    <w:p w14:paraId="269184F7" w14:textId="77777777" w:rsidR="00A05EE7" w:rsidRPr="00A05EE7" w:rsidRDefault="00A05EE7" w:rsidP="00A05EE7">
      <w:pPr>
        <w:spacing w:line="276" w:lineRule="auto"/>
        <w:jc w:val="center"/>
        <w:rPr>
          <w:b/>
          <w:color w:val="000000"/>
          <w:sz w:val="24"/>
          <w:szCs w:val="24"/>
        </w:rPr>
      </w:pPr>
    </w:p>
    <w:p w14:paraId="37A6AD4E" w14:textId="77777777" w:rsidR="00A05EE7" w:rsidRPr="00A05EE7" w:rsidRDefault="00A05EE7" w:rsidP="00A05EE7">
      <w:pPr>
        <w:spacing w:line="276" w:lineRule="auto"/>
        <w:jc w:val="center"/>
        <w:rPr>
          <w:b/>
          <w:color w:val="000000"/>
          <w:sz w:val="24"/>
          <w:szCs w:val="24"/>
        </w:rPr>
      </w:pPr>
    </w:p>
    <w:p w14:paraId="10535E4F" w14:textId="77777777" w:rsidR="00A05EE7" w:rsidRPr="00A05EE7" w:rsidRDefault="00A05EE7" w:rsidP="00A05EE7">
      <w:pPr>
        <w:spacing w:line="276" w:lineRule="auto"/>
        <w:jc w:val="center"/>
        <w:rPr>
          <w:b/>
          <w:color w:val="000000"/>
          <w:sz w:val="24"/>
          <w:szCs w:val="24"/>
        </w:rPr>
      </w:pPr>
    </w:p>
    <w:p w14:paraId="6955AF6C" w14:textId="77777777" w:rsidR="00A05EE7" w:rsidRPr="00A05EE7" w:rsidRDefault="00A05EE7" w:rsidP="00A05EE7">
      <w:pPr>
        <w:spacing w:line="276" w:lineRule="auto"/>
        <w:jc w:val="center"/>
        <w:rPr>
          <w:b/>
          <w:color w:val="000000"/>
          <w:sz w:val="24"/>
          <w:szCs w:val="24"/>
        </w:rPr>
      </w:pPr>
    </w:p>
    <w:p w14:paraId="1737C151" w14:textId="77777777" w:rsidR="00A05EE7" w:rsidRPr="00A05EE7" w:rsidRDefault="00A05EE7" w:rsidP="00A05EE7">
      <w:pPr>
        <w:spacing w:line="276" w:lineRule="auto"/>
        <w:jc w:val="center"/>
        <w:rPr>
          <w:b/>
          <w:color w:val="000000"/>
          <w:sz w:val="24"/>
          <w:szCs w:val="24"/>
        </w:rPr>
      </w:pPr>
    </w:p>
    <w:p w14:paraId="50FFF64C" w14:textId="77777777" w:rsidR="00A05EE7" w:rsidRPr="00A05EE7" w:rsidRDefault="00A05EE7" w:rsidP="00A05EE7">
      <w:pPr>
        <w:spacing w:line="276" w:lineRule="auto"/>
        <w:jc w:val="center"/>
        <w:rPr>
          <w:b/>
          <w:color w:val="000000"/>
          <w:sz w:val="24"/>
          <w:szCs w:val="24"/>
        </w:rPr>
      </w:pPr>
    </w:p>
    <w:p w14:paraId="0698B275" w14:textId="77777777" w:rsidR="00A05EE7" w:rsidRPr="00A05EE7" w:rsidRDefault="00A05EE7" w:rsidP="00A05EE7">
      <w:pPr>
        <w:spacing w:line="276" w:lineRule="auto"/>
        <w:jc w:val="center"/>
        <w:rPr>
          <w:b/>
          <w:color w:val="000000"/>
          <w:sz w:val="24"/>
          <w:szCs w:val="24"/>
        </w:rPr>
      </w:pPr>
      <w:r w:rsidRPr="00A05EE7">
        <w:rPr>
          <w:b/>
          <w:color w:val="000000"/>
          <w:sz w:val="24"/>
          <w:szCs w:val="24"/>
        </w:rPr>
        <w:lastRenderedPageBreak/>
        <w:t>CAPACITY CONSIDERATIONS IN DEMENTIA</w:t>
      </w:r>
    </w:p>
    <w:p w14:paraId="2B02D4BF" w14:textId="77777777" w:rsidR="00A05EE7" w:rsidRPr="00A05EE7" w:rsidRDefault="00A05EE7" w:rsidP="00A05EE7">
      <w:pPr>
        <w:spacing w:line="276" w:lineRule="auto"/>
        <w:jc w:val="center"/>
        <w:rPr>
          <w:b/>
          <w:color w:val="000000"/>
          <w:sz w:val="24"/>
          <w:szCs w:val="24"/>
        </w:rPr>
      </w:pPr>
    </w:p>
    <w:p w14:paraId="26A87D9A" w14:textId="77777777" w:rsidR="00A05EE7" w:rsidRPr="00A05EE7" w:rsidRDefault="00A05EE7" w:rsidP="00A05EE7">
      <w:pPr>
        <w:rPr>
          <w:sz w:val="24"/>
          <w:szCs w:val="24"/>
        </w:rPr>
      </w:pPr>
      <w:r w:rsidRPr="00A05EE7">
        <w:rPr>
          <w:b/>
          <w:color w:val="000000"/>
          <w:sz w:val="24"/>
          <w:szCs w:val="24"/>
        </w:rPr>
        <w:t>Source</w:t>
      </w:r>
      <w:r w:rsidRPr="00A05EE7">
        <w:rPr>
          <w:color w:val="000000"/>
          <w:sz w:val="24"/>
          <w:szCs w:val="24"/>
        </w:rPr>
        <w:t xml:space="preserve">:  </w:t>
      </w:r>
      <w:r w:rsidRPr="00A05EE7">
        <w:rPr>
          <w:sz w:val="24"/>
          <w:szCs w:val="24"/>
        </w:rPr>
        <w:t xml:space="preserve">The Last Taboo: A Guide to Dementia, Sexuality, Intimacy and Sexual </w:t>
      </w:r>
      <w:proofErr w:type="spellStart"/>
      <w:r w:rsidRPr="00A05EE7">
        <w:rPr>
          <w:sz w:val="24"/>
          <w:szCs w:val="24"/>
        </w:rPr>
        <w:t>Behaviour</w:t>
      </w:r>
      <w:proofErr w:type="spellEnd"/>
      <w:r w:rsidRPr="00A05EE7">
        <w:rPr>
          <w:sz w:val="24"/>
          <w:szCs w:val="24"/>
        </w:rPr>
        <w:t xml:space="preserve"> In Care Homes, Alzheimer’s Association, UK</w:t>
      </w:r>
    </w:p>
    <w:p w14:paraId="28E74B19" w14:textId="77777777" w:rsidR="00A05EE7" w:rsidRPr="00A05EE7" w:rsidRDefault="00A05EE7" w:rsidP="00A05EE7">
      <w:pPr>
        <w:rPr>
          <w:sz w:val="24"/>
          <w:szCs w:val="24"/>
        </w:rPr>
      </w:pPr>
      <w:hyperlink r:id="rId8" w:history="1">
        <w:r w:rsidRPr="00A05EE7">
          <w:rPr>
            <w:rStyle w:val="Hyperlink"/>
            <w:rFonts w:eastAsiaTheme="majorEastAsia"/>
            <w:sz w:val="24"/>
            <w:szCs w:val="24"/>
          </w:rPr>
          <w:t>www.ilcuk.org.uk</w:t>
        </w:r>
      </w:hyperlink>
      <w:r w:rsidRPr="00A05EE7">
        <w:rPr>
          <w:sz w:val="24"/>
          <w:szCs w:val="24"/>
        </w:rPr>
        <w:t xml:space="preserve">  </w:t>
      </w:r>
    </w:p>
    <w:p w14:paraId="4C38C2DE" w14:textId="77777777" w:rsidR="00A05EE7" w:rsidRPr="00A05EE7" w:rsidRDefault="00A05EE7" w:rsidP="00A05EE7">
      <w:pPr>
        <w:rPr>
          <w:sz w:val="24"/>
          <w:szCs w:val="24"/>
        </w:rPr>
      </w:pPr>
    </w:p>
    <w:p w14:paraId="6F799E31" w14:textId="62B5B9C7" w:rsidR="0042481E" w:rsidRPr="00A05EE7" w:rsidRDefault="00A05EE7" w:rsidP="00A05EE7">
      <w:pPr>
        <w:spacing w:after="120"/>
        <w:jc w:val="center"/>
        <w:rPr>
          <w:color w:val="000000" w:themeColor="text1"/>
          <w:sz w:val="24"/>
          <w:szCs w:val="24"/>
        </w:rPr>
      </w:pPr>
      <w:r w:rsidRPr="00A05EE7">
        <w:rPr>
          <w:noProof/>
          <w:color w:val="000000" w:themeColor="text1"/>
          <w:sz w:val="24"/>
          <w:szCs w:val="24"/>
        </w:rPr>
        <w:drawing>
          <wp:inline distT="0" distB="0" distL="0" distR="0" wp14:anchorId="24B9CA3C" wp14:editId="069023B0">
            <wp:extent cx="4394048" cy="6219467"/>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oo capacity.tiff"/>
                    <pic:cNvPicPr/>
                  </pic:nvPicPr>
                  <pic:blipFill>
                    <a:blip r:embed="rId9">
                      <a:extLst>
                        <a:ext uri="{28A0092B-C50C-407E-A947-70E740481C1C}">
                          <a14:useLocalDpi xmlns:a14="http://schemas.microsoft.com/office/drawing/2010/main" val="0"/>
                        </a:ext>
                      </a:extLst>
                    </a:blip>
                    <a:stretch>
                      <a:fillRect/>
                    </a:stretch>
                  </pic:blipFill>
                  <pic:spPr>
                    <a:xfrm>
                      <a:off x="0" y="0"/>
                      <a:ext cx="4426058" cy="6264774"/>
                    </a:xfrm>
                    <a:prstGeom prst="rect">
                      <a:avLst/>
                    </a:prstGeom>
                  </pic:spPr>
                </pic:pic>
              </a:graphicData>
            </a:graphic>
          </wp:inline>
        </w:drawing>
      </w:r>
      <w:bookmarkStart w:id="0" w:name="_GoBack"/>
      <w:bookmarkEnd w:id="0"/>
    </w:p>
    <w:sectPr w:rsidR="0042481E" w:rsidRPr="00A05EE7" w:rsidSect="00C73BB6">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43DD" w14:textId="77777777" w:rsidR="00F16FDB" w:rsidRDefault="00F16FDB" w:rsidP="00EF0F23">
      <w:r>
        <w:separator/>
      </w:r>
    </w:p>
  </w:endnote>
  <w:endnote w:type="continuationSeparator" w:id="0">
    <w:p w14:paraId="0FE1172C" w14:textId="77777777" w:rsidR="00F16FDB" w:rsidRDefault="00F16FDB" w:rsidP="00EF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Big Caslon">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9563" w14:textId="77777777" w:rsidR="00BA367D" w:rsidRDefault="00BA367D" w:rsidP="00266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D2495" w14:textId="77777777" w:rsidR="00BA367D" w:rsidRDefault="00BA367D" w:rsidP="00BA36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1DEBE" w14:textId="77777777" w:rsidR="00BA367D" w:rsidRDefault="00BA367D" w:rsidP="00266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EE7">
      <w:rPr>
        <w:rStyle w:val="PageNumber"/>
        <w:noProof/>
      </w:rPr>
      <w:t>5</w:t>
    </w:r>
    <w:r>
      <w:rPr>
        <w:rStyle w:val="PageNumber"/>
      </w:rPr>
      <w:fldChar w:fldCharType="end"/>
    </w:r>
  </w:p>
  <w:sdt>
    <w:sdtPr>
      <w:id w:val="-97104379"/>
      <w:docPartObj>
        <w:docPartGallery w:val="Page Numbers (Bottom of Page)"/>
        <w:docPartUnique/>
      </w:docPartObj>
    </w:sdtPr>
    <w:sdtEndPr/>
    <w:sdtContent>
      <w:sdt>
        <w:sdtPr>
          <w:id w:val="860082579"/>
          <w:docPartObj>
            <w:docPartGallery w:val="Page Numbers (Top of Page)"/>
            <w:docPartUnique/>
          </w:docPartObj>
        </w:sdtPr>
        <w:sdtEndPr/>
        <w:sdtContent>
          <w:p w14:paraId="048B4EF9" w14:textId="77777777" w:rsidR="00616054" w:rsidRDefault="00616054" w:rsidP="00BA367D">
            <w:pPr>
              <w:pStyle w:val="Footer"/>
              <w:ind w:right="360"/>
              <w:jc w:val="right"/>
              <w:rPr>
                <w:b/>
                <w:bCs/>
                <w:sz w:val="24"/>
                <w:szCs w:val="24"/>
              </w:rPr>
            </w:pPr>
          </w:p>
          <w:p w14:paraId="6F615582" w14:textId="77777777" w:rsidR="00616054" w:rsidRPr="00BE6908" w:rsidRDefault="00616054" w:rsidP="00370130">
            <w:pPr>
              <w:pStyle w:val="Footer"/>
              <w:jc w:val="center"/>
              <w:rPr>
                <w:b/>
                <w:bCs/>
                <w:i/>
                <w:szCs w:val="24"/>
              </w:rPr>
            </w:pPr>
            <w:r w:rsidRPr="00BE6908">
              <w:rPr>
                <w:b/>
                <w:bCs/>
                <w:i/>
                <w:szCs w:val="24"/>
              </w:rPr>
              <w:t>Barbara Speedling, Quality of Life Specialist</w:t>
            </w:r>
          </w:p>
          <w:p w14:paraId="041A5F21" w14:textId="77777777" w:rsidR="00616054" w:rsidRPr="00BE6908" w:rsidRDefault="00616054" w:rsidP="00370130">
            <w:pPr>
              <w:pStyle w:val="Footer"/>
              <w:jc w:val="center"/>
              <w:rPr>
                <w:b/>
                <w:bCs/>
                <w:i/>
                <w:szCs w:val="24"/>
              </w:rPr>
            </w:pPr>
            <w:r w:rsidRPr="00BE6908">
              <w:rPr>
                <w:b/>
                <w:bCs/>
                <w:i/>
                <w:szCs w:val="24"/>
              </w:rPr>
              <w:t>213-37 39</w:t>
            </w:r>
            <w:r w:rsidRPr="00BE6908">
              <w:rPr>
                <w:b/>
                <w:bCs/>
                <w:i/>
                <w:szCs w:val="24"/>
                <w:vertAlign w:val="superscript"/>
              </w:rPr>
              <w:t>th</w:t>
            </w:r>
            <w:r w:rsidRPr="00BE6908">
              <w:rPr>
                <w:b/>
                <w:bCs/>
                <w:i/>
                <w:szCs w:val="24"/>
              </w:rPr>
              <w:t xml:space="preserve"> Avenue, </w:t>
            </w:r>
            <w:r w:rsidR="00143797">
              <w:rPr>
                <w:b/>
                <w:bCs/>
                <w:i/>
                <w:szCs w:val="24"/>
              </w:rPr>
              <w:t>#</w:t>
            </w:r>
            <w:r w:rsidRPr="00BE6908">
              <w:rPr>
                <w:b/>
                <w:bCs/>
                <w:i/>
                <w:szCs w:val="24"/>
              </w:rPr>
              <w:t xml:space="preserve"> 217, Bayside, NY  11361</w:t>
            </w:r>
          </w:p>
          <w:p w14:paraId="02C0350E" w14:textId="77777777" w:rsidR="00616054" w:rsidRDefault="00616054" w:rsidP="000E5DC7">
            <w:pPr>
              <w:pStyle w:val="Footer"/>
            </w:pPr>
            <w:r w:rsidRPr="00BE6908">
              <w:rPr>
                <w:sz w:val="16"/>
              </w:rPr>
              <w:t xml:space="preserve">                       </w:t>
            </w:r>
            <w:r w:rsidR="00BE6908">
              <w:rPr>
                <w:sz w:val="16"/>
              </w:rPr>
              <w:t xml:space="preserve">                                  </w:t>
            </w:r>
            <w:r w:rsidRPr="00BE6908">
              <w:rPr>
                <w:sz w:val="16"/>
              </w:rPr>
              <w:t xml:space="preserve">  </w:t>
            </w:r>
            <w:hyperlink r:id="rId1" w:history="1">
              <w:r w:rsidRPr="00BE6908">
                <w:rPr>
                  <w:rStyle w:val="Hyperlink"/>
                  <w:bCs/>
                  <w:szCs w:val="24"/>
                </w:rPr>
                <w:t>Bspeedling@aol.com</w:t>
              </w:r>
            </w:hyperlink>
            <w:r w:rsidRPr="00BE6908">
              <w:rPr>
                <w:bCs/>
                <w:szCs w:val="24"/>
              </w:rPr>
              <w:t xml:space="preserve">          </w:t>
            </w:r>
            <w:r w:rsidRPr="00BE6908">
              <w:rPr>
                <w:b/>
                <w:bCs/>
                <w:szCs w:val="24"/>
              </w:rPr>
              <w:t>917.754.6282</w:t>
            </w:r>
            <w:r w:rsidRPr="00BE6908">
              <w:rPr>
                <w:bCs/>
                <w:szCs w:val="24"/>
              </w:rPr>
              <w:t xml:space="preserve">        </w:t>
            </w:r>
            <w:hyperlink r:id="rId2" w:history="1">
              <w:r w:rsidRPr="00BE6908">
                <w:rPr>
                  <w:rStyle w:val="Hyperlink"/>
                  <w:bCs/>
                  <w:szCs w:val="24"/>
                </w:rPr>
                <w:t>www.innovationsforqualityliving.com</w:t>
              </w:r>
            </w:hyperlink>
          </w:p>
        </w:sdtContent>
      </w:sdt>
    </w:sdtContent>
  </w:sdt>
  <w:p w14:paraId="22C0192D" w14:textId="77777777" w:rsidR="00616054" w:rsidRPr="007856EB" w:rsidRDefault="00616054" w:rsidP="00BA367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5CF9" w14:textId="77777777" w:rsidR="00F16FDB" w:rsidRDefault="00F16FDB" w:rsidP="00EF0F23">
      <w:r>
        <w:separator/>
      </w:r>
    </w:p>
  </w:footnote>
  <w:footnote w:type="continuationSeparator" w:id="0">
    <w:p w14:paraId="42808F12" w14:textId="77777777" w:rsidR="00F16FDB" w:rsidRDefault="00F16FDB" w:rsidP="00EF0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7D151" w14:textId="77777777" w:rsidR="00616054" w:rsidRDefault="00616054" w:rsidP="006E6DF6">
    <w:r w:rsidRPr="006E6DF6">
      <w:rPr>
        <w:noProof/>
      </w:rPr>
      <w:drawing>
        <wp:inline distT="0" distB="0" distL="0" distR="0" wp14:anchorId="7EDD0723" wp14:editId="0067B3E4">
          <wp:extent cx="2514600" cy="62454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s logo.png"/>
                  <pic:cNvPicPr/>
                </pic:nvPicPr>
                <pic:blipFill>
                  <a:blip r:embed="rId1">
                    <a:extLst>
                      <a:ext uri="{28A0092B-C50C-407E-A947-70E740481C1C}">
                        <a14:useLocalDpi xmlns:a14="http://schemas.microsoft.com/office/drawing/2010/main" val="0"/>
                      </a:ext>
                    </a:extLst>
                  </a:blip>
                  <a:stretch>
                    <a:fillRect/>
                  </a:stretch>
                </pic:blipFill>
                <pic:spPr>
                  <a:xfrm>
                    <a:off x="0" y="0"/>
                    <a:ext cx="2542894" cy="631568"/>
                  </a:xfrm>
                  <a:prstGeom prst="rect">
                    <a:avLst/>
                  </a:prstGeom>
                </pic:spPr>
              </pic:pic>
            </a:graphicData>
          </a:graphic>
        </wp:inline>
      </w:drawing>
    </w:r>
  </w:p>
  <w:p w14:paraId="50060C5B" w14:textId="77777777" w:rsidR="00616054" w:rsidRPr="00A91759" w:rsidRDefault="00616054" w:rsidP="006E6DF6">
    <w:pPr>
      <w:rPr>
        <w:b/>
        <w:i/>
      </w:rPr>
    </w:pPr>
    <w:r>
      <w:rPr>
        <w:b/>
        <w:i/>
      </w:rPr>
      <w:t xml:space="preserve">  </w:t>
    </w:r>
    <w:r w:rsidRPr="00A91759">
      <w:rPr>
        <w:b/>
        <w:i/>
      </w:rPr>
      <w:t>Creating Meaningful, Satisfying Lives One Person at a Time</w:t>
    </w:r>
  </w:p>
  <w:p w14:paraId="1314E9AF" w14:textId="77777777" w:rsidR="00616054" w:rsidRPr="006E6DF6" w:rsidRDefault="00616054" w:rsidP="006E6DF6">
    <w:pP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66C"/>
    <w:multiLevelType w:val="hybridMultilevel"/>
    <w:tmpl w:val="B2FC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A48B7"/>
    <w:multiLevelType w:val="hybridMultilevel"/>
    <w:tmpl w:val="D076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F53AA"/>
    <w:multiLevelType w:val="hybridMultilevel"/>
    <w:tmpl w:val="C458E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358A2"/>
    <w:multiLevelType w:val="hybridMultilevel"/>
    <w:tmpl w:val="295AE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F93A97"/>
    <w:multiLevelType w:val="hybridMultilevel"/>
    <w:tmpl w:val="F2AC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C0927"/>
    <w:multiLevelType w:val="hybridMultilevel"/>
    <w:tmpl w:val="B29234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7E55EB"/>
    <w:multiLevelType w:val="hybridMultilevel"/>
    <w:tmpl w:val="E270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0A9E"/>
    <w:multiLevelType w:val="hybridMultilevel"/>
    <w:tmpl w:val="1D08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61D2C"/>
    <w:multiLevelType w:val="hybridMultilevel"/>
    <w:tmpl w:val="A89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F706A"/>
    <w:multiLevelType w:val="hybridMultilevel"/>
    <w:tmpl w:val="E466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0247C"/>
    <w:multiLevelType w:val="hybridMultilevel"/>
    <w:tmpl w:val="C92E71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880491"/>
    <w:multiLevelType w:val="hybridMultilevel"/>
    <w:tmpl w:val="A844D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A610CD"/>
    <w:multiLevelType w:val="hybridMultilevel"/>
    <w:tmpl w:val="83422296"/>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Symbol" w:hAnsi="Symbol" w:hint="default"/>
      </w:rPr>
    </w:lvl>
    <w:lvl w:ilvl="2" w:tplc="FFFFFFFF">
      <w:start w:val="1"/>
      <w:numFmt w:val="bullet"/>
      <w:lvlText w:val=""/>
      <w:lvlJc w:val="right"/>
      <w:pPr>
        <w:tabs>
          <w:tab w:val="num" w:pos="2160"/>
        </w:tabs>
        <w:ind w:left="2160" w:hanging="180"/>
      </w:pPr>
      <w:rPr>
        <w:rFonts w:ascii="Wingdings" w:hAnsi="Wingdings" w:hint="default"/>
        <w:sz w:val="16"/>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54684D"/>
    <w:multiLevelType w:val="hybridMultilevel"/>
    <w:tmpl w:val="55AC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01F9D"/>
    <w:multiLevelType w:val="hybridMultilevel"/>
    <w:tmpl w:val="0158F508"/>
    <w:lvl w:ilvl="0" w:tplc="70F62E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5D7236"/>
    <w:multiLevelType w:val="hybridMultilevel"/>
    <w:tmpl w:val="B52A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02E6A"/>
    <w:multiLevelType w:val="hybridMultilevel"/>
    <w:tmpl w:val="4300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0763F"/>
    <w:multiLevelType w:val="hybridMultilevel"/>
    <w:tmpl w:val="5B927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A1DAD"/>
    <w:multiLevelType w:val="hybridMultilevel"/>
    <w:tmpl w:val="71123E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BA46BF"/>
    <w:multiLevelType w:val="hybridMultilevel"/>
    <w:tmpl w:val="B2808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A3ADC"/>
    <w:multiLevelType w:val="hybridMultilevel"/>
    <w:tmpl w:val="936C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260A0"/>
    <w:multiLevelType w:val="hybridMultilevel"/>
    <w:tmpl w:val="33A6EAD4"/>
    <w:lvl w:ilvl="0" w:tplc="89BEAAA6">
      <w:start w:val="1"/>
      <w:numFmt w:val="bullet"/>
      <w:lvlText w:val="•"/>
      <w:lvlJc w:val="left"/>
      <w:pPr>
        <w:tabs>
          <w:tab w:val="num" w:pos="720"/>
        </w:tabs>
        <w:ind w:left="720" w:hanging="360"/>
      </w:pPr>
      <w:rPr>
        <w:rFonts w:ascii="Arial" w:hAnsi="Arial" w:hint="default"/>
      </w:rPr>
    </w:lvl>
    <w:lvl w:ilvl="1" w:tplc="493E4714" w:tentative="1">
      <w:start w:val="1"/>
      <w:numFmt w:val="bullet"/>
      <w:lvlText w:val="•"/>
      <w:lvlJc w:val="left"/>
      <w:pPr>
        <w:tabs>
          <w:tab w:val="num" w:pos="1440"/>
        </w:tabs>
        <w:ind w:left="1440" w:hanging="360"/>
      </w:pPr>
      <w:rPr>
        <w:rFonts w:ascii="Arial" w:hAnsi="Arial" w:hint="default"/>
      </w:rPr>
    </w:lvl>
    <w:lvl w:ilvl="2" w:tplc="373AF494" w:tentative="1">
      <w:start w:val="1"/>
      <w:numFmt w:val="bullet"/>
      <w:lvlText w:val="•"/>
      <w:lvlJc w:val="left"/>
      <w:pPr>
        <w:tabs>
          <w:tab w:val="num" w:pos="2160"/>
        </w:tabs>
        <w:ind w:left="2160" w:hanging="360"/>
      </w:pPr>
      <w:rPr>
        <w:rFonts w:ascii="Arial" w:hAnsi="Arial" w:hint="default"/>
      </w:rPr>
    </w:lvl>
    <w:lvl w:ilvl="3" w:tplc="5EE87D32" w:tentative="1">
      <w:start w:val="1"/>
      <w:numFmt w:val="bullet"/>
      <w:lvlText w:val="•"/>
      <w:lvlJc w:val="left"/>
      <w:pPr>
        <w:tabs>
          <w:tab w:val="num" w:pos="2880"/>
        </w:tabs>
        <w:ind w:left="2880" w:hanging="360"/>
      </w:pPr>
      <w:rPr>
        <w:rFonts w:ascii="Arial" w:hAnsi="Arial" w:hint="default"/>
      </w:rPr>
    </w:lvl>
    <w:lvl w:ilvl="4" w:tplc="5D68E8EC" w:tentative="1">
      <w:start w:val="1"/>
      <w:numFmt w:val="bullet"/>
      <w:lvlText w:val="•"/>
      <w:lvlJc w:val="left"/>
      <w:pPr>
        <w:tabs>
          <w:tab w:val="num" w:pos="3600"/>
        </w:tabs>
        <w:ind w:left="3600" w:hanging="360"/>
      </w:pPr>
      <w:rPr>
        <w:rFonts w:ascii="Arial" w:hAnsi="Arial" w:hint="default"/>
      </w:rPr>
    </w:lvl>
    <w:lvl w:ilvl="5" w:tplc="5C64D34E" w:tentative="1">
      <w:start w:val="1"/>
      <w:numFmt w:val="bullet"/>
      <w:lvlText w:val="•"/>
      <w:lvlJc w:val="left"/>
      <w:pPr>
        <w:tabs>
          <w:tab w:val="num" w:pos="4320"/>
        </w:tabs>
        <w:ind w:left="4320" w:hanging="360"/>
      </w:pPr>
      <w:rPr>
        <w:rFonts w:ascii="Arial" w:hAnsi="Arial" w:hint="default"/>
      </w:rPr>
    </w:lvl>
    <w:lvl w:ilvl="6" w:tplc="F0D0E55C" w:tentative="1">
      <w:start w:val="1"/>
      <w:numFmt w:val="bullet"/>
      <w:lvlText w:val="•"/>
      <w:lvlJc w:val="left"/>
      <w:pPr>
        <w:tabs>
          <w:tab w:val="num" w:pos="5040"/>
        </w:tabs>
        <w:ind w:left="5040" w:hanging="360"/>
      </w:pPr>
      <w:rPr>
        <w:rFonts w:ascii="Arial" w:hAnsi="Arial" w:hint="default"/>
      </w:rPr>
    </w:lvl>
    <w:lvl w:ilvl="7" w:tplc="78FCFCAE" w:tentative="1">
      <w:start w:val="1"/>
      <w:numFmt w:val="bullet"/>
      <w:lvlText w:val="•"/>
      <w:lvlJc w:val="left"/>
      <w:pPr>
        <w:tabs>
          <w:tab w:val="num" w:pos="5760"/>
        </w:tabs>
        <w:ind w:left="5760" w:hanging="360"/>
      </w:pPr>
      <w:rPr>
        <w:rFonts w:ascii="Arial" w:hAnsi="Arial" w:hint="default"/>
      </w:rPr>
    </w:lvl>
    <w:lvl w:ilvl="8" w:tplc="299CA852" w:tentative="1">
      <w:start w:val="1"/>
      <w:numFmt w:val="bullet"/>
      <w:lvlText w:val="•"/>
      <w:lvlJc w:val="left"/>
      <w:pPr>
        <w:tabs>
          <w:tab w:val="num" w:pos="6480"/>
        </w:tabs>
        <w:ind w:left="6480" w:hanging="360"/>
      </w:pPr>
      <w:rPr>
        <w:rFonts w:ascii="Arial" w:hAnsi="Arial" w:hint="default"/>
      </w:rPr>
    </w:lvl>
  </w:abstractNum>
  <w:abstractNum w:abstractNumId="22">
    <w:nsid w:val="46114024"/>
    <w:multiLevelType w:val="hybridMultilevel"/>
    <w:tmpl w:val="AFE21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BD15C9"/>
    <w:multiLevelType w:val="hybridMultilevel"/>
    <w:tmpl w:val="CF1C0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F724FA"/>
    <w:multiLevelType w:val="hybridMultilevel"/>
    <w:tmpl w:val="6AFA662C"/>
    <w:lvl w:ilvl="0" w:tplc="9CCE3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8783D"/>
    <w:multiLevelType w:val="hybridMultilevel"/>
    <w:tmpl w:val="392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11147"/>
    <w:multiLevelType w:val="hybridMultilevel"/>
    <w:tmpl w:val="2A3229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DD76F5D"/>
    <w:multiLevelType w:val="hybridMultilevel"/>
    <w:tmpl w:val="78D0479C"/>
    <w:lvl w:ilvl="0" w:tplc="A1A0E826">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03FE3"/>
    <w:multiLevelType w:val="hybridMultilevel"/>
    <w:tmpl w:val="45FC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F1C4A"/>
    <w:multiLevelType w:val="hybridMultilevel"/>
    <w:tmpl w:val="DFD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A26A5"/>
    <w:multiLevelType w:val="hybridMultilevel"/>
    <w:tmpl w:val="A32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F6377"/>
    <w:multiLevelType w:val="hybridMultilevel"/>
    <w:tmpl w:val="219C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E55FF"/>
    <w:multiLevelType w:val="hybridMultilevel"/>
    <w:tmpl w:val="BCCEE2FA"/>
    <w:lvl w:ilvl="0" w:tplc="B2EA5E04">
      <w:numFmt w:val="bullet"/>
      <w:lvlText w:val=""/>
      <w:lvlJc w:val="left"/>
      <w:pPr>
        <w:ind w:left="720" w:hanging="360"/>
      </w:pPr>
      <w:rPr>
        <w:rFonts w:ascii="Symbol" w:eastAsiaTheme="minorHAnsi" w:hAnsi="Symbol" w:cs="Times"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82037"/>
    <w:multiLevelType w:val="hybridMultilevel"/>
    <w:tmpl w:val="1826B0E6"/>
    <w:lvl w:ilvl="0" w:tplc="E10AC3D4">
      <w:start w:val="1"/>
      <w:numFmt w:val="bullet"/>
      <w:lvlText w:val="•"/>
      <w:lvlJc w:val="left"/>
      <w:pPr>
        <w:tabs>
          <w:tab w:val="num" w:pos="720"/>
        </w:tabs>
        <w:ind w:left="720" w:hanging="360"/>
      </w:pPr>
      <w:rPr>
        <w:rFonts w:ascii="Arial" w:hAnsi="Arial" w:hint="default"/>
      </w:rPr>
    </w:lvl>
    <w:lvl w:ilvl="1" w:tplc="54D6F930" w:tentative="1">
      <w:start w:val="1"/>
      <w:numFmt w:val="bullet"/>
      <w:lvlText w:val="•"/>
      <w:lvlJc w:val="left"/>
      <w:pPr>
        <w:tabs>
          <w:tab w:val="num" w:pos="1440"/>
        </w:tabs>
        <w:ind w:left="1440" w:hanging="360"/>
      </w:pPr>
      <w:rPr>
        <w:rFonts w:ascii="Arial" w:hAnsi="Arial" w:hint="default"/>
      </w:rPr>
    </w:lvl>
    <w:lvl w:ilvl="2" w:tplc="4EC69740" w:tentative="1">
      <w:start w:val="1"/>
      <w:numFmt w:val="bullet"/>
      <w:lvlText w:val="•"/>
      <w:lvlJc w:val="left"/>
      <w:pPr>
        <w:tabs>
          <w:tab w:val="num" w:pos="2160"/>
        </w:tabs>
        <w:ind w:left="2160" w:hanging="360"/>
      </w:pPr>
      <w:rPr>
        <w:rFonts w:ascii="Arial" w:hAnsi="Arial" w:hint="default"/>
      </w:rPr>
    </w:lvl>
    <w:lvl w:ilvl="3" w:tplc="F2949B82" w:tentative="1">
      <w:start w:val="1"/>
      <w:numFmt w:val="bullet"/>
      <w:lvlText w:val="•"/>
      <w:lvlJc w:val="left"/>
      <w:pPr>
        <w:tabs>
          <w:tab w:val="num" w:pos="2880"/>
        </w:tabs>
        <w:ind w:left="2880" w:hanging="360"/>
      </w:pPr>
      <w:rPr>
        <w:rFonts w:ascii="Arial" w:hAnsi="Arial" w:hint="default"/>
      </w:rPr>
    </w:lvl>
    <w:lvl w:ilvl="4" w:tplc="64CE9BAC" w:tentative="1">
      <w:start w:val="1"/>
      <w:numFmt w:val="bullet"/>
      <w:lvlText w:val="•"/>
      <w:lvlJc w:val="left"/>
      <w:pPr>
        <w:tabs>
          <w:tab w:val="num" w:pos="3600"/>
        </w:tabs>
        <w:ind w:left="3600" w:hanging="360"/>
      </w:pPr>
      <w:rPr>
        <w:rFonts w:ascii="Arial" w:hAnsi="Arial" w:hint="default"/>
      </w:rPr>
    </w:lvl>
    <w:lvl w:ilvl="5" w:tplc="A75042B8" w:tentative="1">
      <w:start w:val="1"/>
      <w:numFmt w:val="bullet"/>
      <w:lvlText w:val="•"/>
      <w:lvlJc w:val="left"/>
      <w:pPr>
        <w:tabs>
          <w:tab w:val="num" w:pos="4320"/>
        </w:tabs>
        <w:ind w:left="4320" w:hanging="360"/>
      </w:pPr>
      <w:rPr>
        <w:rFonts w:ascii="Arial" w:hAnsi="Arial" w:hint="default"/>
      </w:rPr>
    </w:lvl>
    <w:lvl w:ilvl="6" w:tplc="0B0AF46C" w:tentative="1">
      <w:start w:val="1"/>
      <w:numFmt w:val="bullet"/>
      <w:lvlText w:val="•"/>
      <w:lvlJc w:val="left"/>
      <w:pPr>
        <w:tabs>
          <w:tab w:val="num" w:pos="5040"/>
        </w:tabs>
        <w:ind w:left="5040" w:hanging="360"/>
      </w:pPr>
      <w:rPr>
        <w:rFonts w:ascii="Arial" w:hAnsi="Arial" w:hint="default"/>
      </w:rPr>
    </w:lvl>
    <w:lvl w:ilvl="7" w:tplc="9E92BBCE" w:tentative="1">
      <w:start w:val="1"/>
      <w:numFmt w:val="bullet"/>
      <w:lvlText w:val="•"/>
      <w:lvlJc w:val="left"/>
      <w:pPr>
        <w:tabs>
          <w:tab w:val="num" w:pos="5760"/>
        </w:tabs>
        <w:ind w:left="5760" w:hanging="360"/>
      </w:pPr>
      <w:rPr>
        <w:rFonts w:ascii="Arial" w:hAnsi="Arial" w:hint="default"/>
      </w:rPr>
    </w:lvl>
    <w:lvl w:ilvl="8" w:tplc="63227FFA" w:tentative="1">
      <w:start w:val="1"/>
      <w:numFmt w:val="bullet"/>
      <w:lvlText w:val="•"/>
      <w:lvlJc w:val="left"/>
      <w:pPr>
        <w:tabs>
          <w:tab w:val="num" w:pos="6480"/>
        </w:tabs>
        <w:ind w:left="6480" w:hanging="360"/>
      </w:pPr>
      <w:rPr>
        <w:rFonts w:ascii="Arial" w:hAnsi="Arial" w:hint="default"/>
      </w:rPr>
    </w:lvl>
  </w:abstractNum>
  <w:abstractNum w:abstractNumId="34">
    <w:nsid w:val="5E5D5B30"/>
    <w:multiLevelType w:val="hybridMultilevel"/>
    <w:tmpl w:val="F2AC52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8362B5"/>
    <w:multiLevelType w:val="hybridMultilevel"/>
    <w:tmpl w:val="484055CA"/>
    <w:lvl w:ilvl="0" w:tplc="0409000F">
      <w:start w:val="1"/>
      <w:numFmt w:val="decimal"/>
      <w:lvlText w:val="%1."/>
      <w:lvlJc w:val="left"/>
      <w:pPr>
        <w:ind w:left="720" w:hanging="360"/>
      </w:pPr>
    </w:lvl>
    <w:lvl w:ilvl="1" w:tplc="594C41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3410E"/>
    <w:multiLevelType w:val="hybridMultilevel"/>
    <w:tmpl w:val="4086E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E1187B"/>
    <w:multiLevelType w:val="hybridMultilevel"/>
    <w:tmpl w:val="B748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4D02C7"/>
    <w:multiLevelType w:val="hybridMultilevel"/>
    <w:tmpl w:val="687E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6E0940"/>
    <w:multiLevelType w:val="hybridMultilevel"/>
    <w:tmpl w:val="0770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796BBC"/>
    <w:multiLevelType w:val="hybridMultilevel"/>
    <w:tmpl w:val="8F18F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6B5561"/>
    <w:multiLevelType w:val="multilevel"/>
    <w:tmpl w:val="7A0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AF3CDE"/>
    <w:multiLevelType w:val="hybridMultilevel"/>
    <w:tmpl w:val="F2AC52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F1017E2"/>
    <w:multiLevelType w:val="hybridMultilevel"/>
    <w:tmpl w:val="8CC25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31418"/>
    <w:multiLevelType w:val="hybridMultilevel"/>
    <w:tmpl w:val="10A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67A19"/>
    <w:multiLevelType w:val="hybridMultilevel"/>
    <w:tmpl w:val="C46AC036"/>
    <w:lvl w:ilvl="0" w:tplc="B2EA5E04">
      <w:numFmt w:val="bullet"/>
      <w:lvlText w:val=""/>
      <w:lvlJc w:val="left"/>
      <w:pPr>
        <w:ind w:left="832" w:hanging="360"/>
      </w:pPr>
      <w:rPr>
        <w:rFonts w:ascii="Symbol" w:eastAsiaTheme="minorHAnsi" w:hAnsi="Symbol" w:cs="Times" w:hint="default"/>
        <w:color w:val="000000" w:themeColor="text1"/>
        <w:sz w:val="32"/>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6">
    <w:nsid w:val="74D13D3A"/>
    <w:multiLevelType w:val="hybridMultilevel"/>
    <w:tmpl w:val="4E9898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5754A8F"/>
    <w:multiLevelType w:val="hybridMultilevel"/>
    <w:tmpl w:val="044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45D8A"/>
    <w:multiLevelType w:val="hybridMultilevel"/>
    <w:tmpl w:val="7C4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E018CD"/>
    <w:multiLevelType w:val="hybridMultilevel"/>
    <w:tmpl w:val="283E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9"/>
  </w:num>
  <w:num w:numId="3">
    <w:abstractNumId w:val="25"/>
  </w:num>
  <w:num w:numId="4">
    <w:abstractNumId w:val="30"/>
  </w:num>
  <w:num w:numId="5">
    <w:abstractNumId w:val="11"/>
  </w:num>
  <w:num w:numId="6">
    <w:abstractNumId w:val="44"/>
  </w:num>
  <w:num w:numId="7">
    <w:abstractNumId w:val="31"/>
  </w:num>
  <w:num w:numId="8">
    <w:abstractNumId w:val="26"/>
  </w:num>
  <w:num w:numId="9">
    <w:abstractNumId w:val="10"/>
  </w:num>
  <w:num w:numId="10">
    <w:abstractNumId w:val="39"/>
  </w:num>
  <w:num w:numId="11">
    <w:abstractNumId w:val="45"/>
  </w:num>
  <w:num w:numId="12">
    <w:abstractNumId w:val="32"/>
  </w:num>
  <w:num w:numId="13">
    <w:abstractNumId w:val="46"/>
  </w:num>
  <w:num w:numId="14">
    <w:abstractNumId w:val="19"/>
  </w:num>
  <w:num w:numId="15">
    <w:abstractNumId w:val="5"/>
  </w:num>
  <w:num w:numId="16">
    <w:abstractNumId w:val="27"/>
  </w:num>
  <w:num w:numId="17">
    <w:abstractNumId w:val="47"/>
  </w:num>
  <w:num w:numId="18">
    <w:abstractNumId w:val="43"/>
  </w:num>
  <w:num w:numId="19">
    <w:abstractNumId w:val="3"/>
  </w:num>
  <w:num w:numId="20">
    <w:abstractNumId w:val="18"/>
  </w:num>
  <w:num w:numId="21">
    <w:abstractNumId w:val="28"/>
  </w:num>
  <w:num w:numId="22">
    <w:abstractNumId w:val="34"/>
  </w:num>
  <w:num w:numId="23">
    <w:abstractNumId w:val="42"/>
  </w:num>
  <w:num w:numId="24">
    <w:abstractNumId w:val="16"/>
  </w:num>
  <w:num w:numId="25">
    <w:abstractNumId w:val="2"/>
  </w:num>
  <w:num w:numId="26">
    <w:abstractNumId w:val="8"/>
  </w:num>
  <w:num w:numId="27">
    <w:abstractNumId w:val="0"/>
  </w:num>
  <w:num w:numId="28">
    <w:abstractNumId w:val="7"/>
  </w:num>
  <w:num w:numId="29">
    <w:abstractNumId w:val="38"/>
  </w:num>
  <w:num w:numId="30">
    <w:abstractNumId w:val="17"/>
  </w:num>
  <w:num w:numId="31">
    <w:abstractNumId w:val="4"/>
  </w:num>
  <w:num w:numId="32">
    <w:abstractNumId w:val="29"/>
  </w:num>
  <w:num w:numId="33">
    <w:abstractNumId w:val="6"/>
  </w:num>
  <w:num w:numId="34">
    <w:abstractNumId w:val="48"/>
  </w:num>
  <w:num w:numId="35">
    <w:abstractNumId w:val="15"/>
  </w:num>
  <w:num w:numId="36">
    <w:abstractNumId w:val="40"/>
  </w:num>
  <w:num w:numId="37">
    <w:abstractNumId w:val="20"/>
  </w:num>
  <w:num w:numId="38">
    <w:abstractNumId w:val="33"/>
  </w:num>
  <w:num w:numId="39">
    <w:abstractNumId w:val="21"/>
  </w:num>
  <w:num w:numId="40">
    <w:abstractNumId w:val="12"/>
  </w:num>
  <w:num w:numId="41">
    <w:abstractNumId w:val="13"/>
  </w:num>
  <w:num w:numId="42">
    <w:abstractNumId w:val="35"/>
  </w:num>
  <w:num w:numId="43">
    <w:abstractNumId w:val="23"/>
  </w:num>
  <w:num w:numId="44">
    <w:abstractNumId w:val="1"/>
  </w:num>
  <w:num w:numId="45">
    <w:abstractNumId w:val="41"/>
  </w:num>
  <w:num w:numId="46">
    <w:abstractNumId w:val="9"/>
  </w:num>
  <w:num w:numId="47">
    <w:abstractNumId w:val="24"/>
  </w:num>
  <w:num w:numId="48">
    <w:abstractNumId w:val="22"/>
  </w:num>
  <w:num w:numId="49">
    <w:abstractNumId w:val="37"/>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23"/>
    <w:rsid w:val="00014085"/>
    <w:rsid w:val="00014FF0"/>
    <w:rsid w:val="00021047"/>
    <w:rsid w:val="00031898"/>
    <w:rsid w:val="00034ED7"/>
    <w:rsid w:val="00037928"/>
    <w:rsid w:val="000415C0"/>
    <w:rsid w:val="00042077"/>
    <w:rsid w:val="00050075"/>
    <w:rsid w:val="0005100E"/>
    <w:rsid w:val="00053A2B"/>
    <w:rsid w:val="000555E9"/>
    <w:rsid w:val="00057AEB"/>
    <w:rsid w:val="000634DA"/>
    <w:rsid w:val="00070447"/>
    <w:rsid w:val="0007310B"/>
    <w:rsid w:val="00074103"/>
    <w:rsid w:val="0008053A"/>
    <w:rsid w:val="0008124C"/>
    <w:rsid w:val="000812A7"/>
    <w:rsid w:val="000902F1"/>
    <w:rsid w:val="00095FCD"/>
    <w:rsid w:val="000A2702"/>
    <w:rsid w:val="000A31D4"/>
    <w:rsid w:val="000A5D09"/>
    <w:rsid w:val="000B14D0"/>
    <w:rsid w:val="000B42A7"/>
    <w:rsid w:val="000B43A8"/>
    <w:rsid w:val="000B7F42"/>
    <w:rsid w:val="000C2E18"/>
    <w:rsid w:val="000C5214"/>
    <w:rsid w:val="000D0160"/>
    <w:rsid w:val="000E5DC7"/>
    <w:rsid w:val="000F10F3"/>
    <w:rsid w:val="000F395A"/>
    <w:rsid w:val="001000F8"/>
    <w:rsid w:val="00106847"/>
    <w:rsid w:val="001210E3"/>
    <w:rsid w:val="0012692E"/>
    <w:rsid w:val="00126F90"/>
    <w:rsid w:val="00130ACA"/>
    <w:rsid w:val="001311E1"/>
    <w:rsid w:val="00131E3C"/>
    <w:rsid w:val="00141E33"/>
    <w:rsid w:val="00143797"/>
    <w:rsid w:val="00145AB4"/>
    <w:rsid w:val="0015324D"/>
    <w:rsid w:val="00161C7B"/>
    <w:rsid w:val="00162069"/>
    <w:rsid w:val="00165A70"/>
    <w:rsid w:val="0016652E"/>
    <w:rsid w:val="00166B4F"/>
    <w:rsid w:val="00170B6C"/>
    <w:rsid w:val="001742A7"/>
    <w:rsid w:val="001749FA"/>
    <w:rsid w:val="0019172A"/>
    <w:rsid w:val="001B5BBE"/>
    <w:rsid w:val="001C4800"/>
    <w:rsid w:val="001D1427"/>
    <w:rsid w:val="001D21EF"/>
    <w:rsid w:val="001D673D"/>
    <w:rsid w:val="001D7932"/>
    <w:rsid w:val="001E506A"/>
    <w:rsid w:val="001E5749"/>
    <w:rsid w:val="001E6353"/>
    <w:rsid w:val="001F2707"/>
    <w:rsid w:val="001F3F5E"/>
    <w:rsid w:val="00202D1D"/>
    <w:rsid w:val="00203CB1"/>
    <w:rsid w:val="00204617"/>
    <w:rsid w:val="00211669"/>
    <w:rsid w:val="002121DC"/>
    <w:rsid w:val="0023578E"/>
    <w:rsid w:val="00254B1A"/>
    <w:rsid w:val="00254D93"/>
    <w:rsid w:val="002620C9"/>
    <w:rsid w:val="002624DB"/>
    <w:rsid w:val="00265F30"/>
    <w:rsid w:val="00271A3C"/>
    <w:rsid w:val="002A3416"/>
    <w:rsid w:val="002B024B"/>
    <w:rsid w:val="002B6BD6"/>
    <w:rsid w:val="002C620C"/>
    <w:rsid w:val="002C7B11"/>
    <w:rsid w:val="002D1518"/>
    <w:rsid w:val="002D222C"/>
    <w:rsid w:val="002D2BF2"/>
    <w:rsid w:val="002D33F7"/>
    <w:rsid w:val="002E410E"/>
    <w:rsid w:val="002E6BDD"/>
    <w:rsid w:val="002E759A"/>
    <w:rsid w:val="002F0C6A"/>
    <w:rsid w:val="002F287B"/>
    <w:rsid w:val="002F6A99"/>
    <w:rsid w:val="003070E4"/>
    <w:rsid w:val="003074D3"/>
    <w:rsid w:val="00311FB0"/>
    <w:rsid w:val="00312138"/>
    <w:rsid w:val="0032064E"/>
    <w:rsid w:val="003302D8"/>
    <w:rsid w:val="00337424"/>
    <w:rsid w:val="00340F44"/>
    <w:rsid w:val="0036196B"/>
    <w:rsid w:val="00362D55"/>
    <w:rsid w:val="00367136"/>
    <w:rsid w:val="00370130"/>
    <w:rsid w:val="00370F14"/>
    <w:rsid w:val="00371522"/>
    <w:rsid w:val="0037237B"/>
    <w:rsid w:val="0037696F"/>
    <w:rsid w:val="0038072E"/>
    <w:rsid w:val="003A026F"/>
    <w:rsid w:val="003A2A66"/>
    <w:rsid w:val="003A31E7"/>
    <w:rsid w:val="003A3E9E"/>
    <w:rsid w:val="003A49B6"/>
    <w:rsid w:val="003B5009"/>
    <w:rsid w:val="003C2017"/>
    <w:rsid w:val="003C7C5C"/>
    <w:rsid w:val="003D0A11"/>
    <w:rsid w:val="003D4DDD"/>
    <w:rsid w:val="003E158E"/>
    <w:rsid w:val="003F43B8"/>
    <w:rsid w:val="003F653B"/>
    <w:rsid w:val="003F67B5"/>
    <w:rsid w:val="004070BB"/>
    <w:rsid w:val="004223F7"/>
    <w:rsid w:val="00423C67"/>
    <w:rsid w:val="00424056"/>
    <w:rsid w:val="0042481E"/>
    <w:rsid w:val="00432E4C"/>
    <w:rsid w:val="00465FA5"/>
    <w:rsid w:val="00467B6A"/>
    <w:rsid w:val="00481F31"/>
    <w:rsid w:val="00487F21"/>
    <w:rsid w:val="00491FA7"/>
    <w:rsid w:val="00495899"/>
    <w:rsid w:val="004A5A25"/>
    <w:rsid w:val="004C5760"/>
    <w:rsid w:val="004D1425"/>
    <w:rsid w:val="004D47C2"/>
    <w:rsid w:val="004E2295"/>
    <w:rsid w:val="004E40C1"/>
    <w:rsid w:val="004E6469"/>
    <w:rsid w:val="004F3D1A"/>
    <w:rsid w:val="004F4BC3"/>
    <w:rsid w:val="004F4BCC"/>
    <w:rsid w:val="004F6719"/>
    <w:rsid w:val="00500563"/>
    <w:rsid w:val="00507964"/>
    <w:rsid w:val="0052246B"/>
    <w:rsid w:val="00526B35"/>
    <w:rsid w:val="00526FEA"/>
    <w:rsid w:val="005274F4"/>
    <w:rsid w:val="00527688"/>
    <w:rsid w:val="00547281"/>
    <w:rsid w:val="0055093F"/>
    <w:rsid w:val="0055784F"/>
    <w:rsid w:val="0056226F"/>
    <w:rsid w:val="00564D1A"/>
    <w:rsid w:val="00567B99"/>
    <w:rsid w:val="00570269"/>
    <w:rsid w:val="005739DD"/>
    <w:rsid w:val="00576AB2"/>
    <w:rsid w:val="00576BBC"/>
    <w:rsid w:val="005A0B50"/>
    <w:rsid w:val="005A1FD6"/>
    <w:rsid w:val="005A3B9F"/>
    <w:rsid w:val="005B7A1A"/>
    <w:rsid w:val="005C3451"/>
    <w:rsid w:val="005C5227"/>
    <w:rsid w:val="005C5C4B"/>
    <w:rsid w:val="005D2369"/>
    <w:rsid w:val="005E1997"/>
    <w:rsid w:val="005E43D3"/>
    <w:rsid w:val="00601B2F"/>
    <w:rsid w:val="00602866"/>
    <w:rsid w:val="00604856"/>
    <w:rsid w:val="00606D11"/>
    <w:rsid w:val="006076BF"/>
    <w:rsid w:val="006117AA"/>
    <w:rsid w:val="00616054"/>
    <w:rsid w:val="00616EE5"/>
    <w:rsid w:val="006241BC"/>
    <w:rsid w:val="00627F87"/>
    <w:rsid w:val="00630904"/>
    <w:rsid w:val="00632BDC"/>
    <w:rsid w:val="00632D60"/>
    <w:rsid w:val="006364D6"/>
    <w:rsid w:val="00653A5C"/>
    <w:rsid w:val="00653DC2"/>
    <w:rsid w:val="006626B3"/>
    <w:rsid w:val="00665A9E"/>
    <w:rsid w:val="00666534"/>
    <w:rsid w:val="00671DC0"/>
    <w:rsid w:val="006732D6"/>
    <w:rsid w:val="006757B4"/>
    <w:rsid w:val="00676ED2"/>
    <w:rsid w:val="00677EE8"/>
    <w:rsid w:val="006817E5"/>
    <w:rsid w:val="00681FD3"/>
    <w:rsid w:val="006903DE"/>
    <w:rsid w:val="006938BB"/>
    <w:rsid w:val="006966B1"/>
    <w:rsid w:val="006A169B"/>
    <w:rsid w:val="006A1FFC"/>
    <w:rsid w:val="006A369A"/>
    <w:rsid w:val="006A44E7"/>
    <w:rsid w:val="006B32F5"/>
    <w:rsid w:val="006B42A6"/>
    <w:rsid w:val="006B706B"/>
    <w:rsid w:val="006C3E2D"/>
    <w:rsid w:val="006D23A4"/>
    <w:rsid w:val="006D4C52"/>
    <w:rsid w:val="006D62F8"/>
    <w:rsid w:val="006D64B0"/>
    <w:rsid w:val="006D7CE2"/>
    <w:rsid w:val="006E6DF6"/>
    <w:rsid w:val="006F2084"/>
    <w:rsid w:val="006F2555"/>
    <w:rsid w:val="00702F7A"/>
    <w:rsid w:val="007041ED"/>
    <w:rsid w:val="007076DB"/>
    <w:rsid w:val="00711C58"/>
    <w:rsid w:val="007204B5"/>
    <w:rsid w:val="007223CA"/>
    <w:rsid w:val="007247FA"/>
    <w:rsid w:val="00731F33"/>
    <w:rsid w:val="00741DF9"/>
    <w:rsid w:val="00744AF4"/>
    <w:rsid w:val="00745B66"/>
    <w:rsid w:val="00756167"/>
    <w:rsid w:val="00776838"/>
    <w:rsid w:val="007856EB"/>
    <w:rsid w:val="007877B8"/>
    <w:rsid w:val="007907E0"/>
    <w:rsid w:val="00790A19"/>
    <w:rsid w:val="00791EBE"/>
    <w:rsid w:val="007A00CE"/>
    <w:rsid w:val="007A1719"/>
    <w:rsid w:val="007A21C0"/>
    <w:rsid w:val="007A3883"/>
    <w:rsid w:val="007B1716"/>
    <w:rsid w:val="007C18AC"/>
    <w:rsid w:val="007C31B1"/>
    <w:rsid w:val="007C329A"/>
    <w:rsid w:val="007D0BDD"/>
    <w:rsid w:val="007D677D"/>
    <w:rsid w:val="007E6489"/>
    <w:rsid w:val="007F0AFA"/>
    <w:rsid w:val="007F3FC0"/>
    <w:rsid w:val="007F5816"/>
    <w:rsid w:val="0080441D"/>
    <w:rsid w:val="00804AE9"/>
    <w:rsid w:val="00806EE4"/>
    <w:rsid w:val="008106AC"/>
    <w:rsid w:val="00817F1B"/>
    <w:rsid w:val="00820DEB"/>
    <w:rsid w:val="00821F7C"/>
    <w:rsid w:val="008407EC"/>
    <w:rsid w:val="00842FAB"/>
    <w:rsid w:val="00846C11"/>
    <w:rsid w:val="00847BF0"/>
    <w:rsid w:val="00850487"/>
    <w:rsid w:val="00851E4B"/>
    <w:rsid w:val="008524F1"/>
    <w:rsid w:val="00853D29"/>
    <w:rsid w:val="00863092"/>
    <w:rsid w:val="00870768"/>
    <w:rsid w:val="00883085"/>
    <w:rsid w:val="00883F1E"/>
    <w:rsid w:val="00891437"/>
    <w:rsid w:val="00892F79"/>
    <w:rsid w:val="00893A89"/>
    <w:rsid w:val="008B0CD3"/>
    <w:rsid w:val="008B42A5"/>
    <w:rsid w:val="008B6E6B"/>
    <w:rsid w:val="008C03D4"/>
    <w:rsid w:val="008C1203"/>
    <w:rsid w:val="008D02A6"/>
    <w:rsid w:val="008D3E30"/>
    <w:rsid w:val="008D6F76"/>
    <w:rsid w:val="008E2629"/>
    <w:rsid w:val="008F4D3D"/>
    <w:rsid w:val="009103D3"/>
    <w:rsid w:val="00914D60"/>
    <w:rsid w:val="0091621E"/>
    <w:rsid w:val="00943A44"/>
    <w:rsid w:val="00945FA5"/>
    <w:rsid w:val="00946AD4"/>
    <w:rsid w:val="00950194"/>
    <w:rsid w:val="00952426"/>
    <w:rsid w:val="00952FB9"/>
    <w:rsid w:val="009540DC"/>
    <w:rsid w:val="00960CB9"/>
    <w:rsid w:val="00960F93"/>
    <w:rsid w:val="00962333"/>
    <w:rsid w:val="00965A2B"/>
    <w:rsid w:val="009667D5"/>
    <w:rsid w:val="00974F98"/>
    <w:rsid w:val="0098359A"/>
    <w:rsid w:val="00984A44"/>
    <w:rsid w:val="00986235"/>
    <w:rsid w:val="00996531"/>
    <w:rsid w:val="009B732B"/>
    <w:rsid w:val="009C3143"/>
    <w:rsid w:val="009D0727"/>
    <w:rsid w:val="009D0C76"/>
    <w:rsid w:val="009D5241"/>
    <w:rsid w:val="009E3F6B"/>
    <w:rsid w:val="009E7AF3"/>
    <w:rsid w:val="00A035F5"/>
    <w:rsid w:val="00A05EE7"/>
    <w:rsid w:val="00A162F2"/>
    <w:rsid w:val="00A227DC"/>
    <w:rsid w:val="00A2572A"/>
    <w:rsid w:val="00A26C4E"/>
    <w:rsid w:val="00A26FA2"/>
    <w:rsid w:val="00A406AE"/>
    <w:rsid w:val="00A41437"/>
    <w:rsid w:val="00A42890"/>
    <w:rsid w:val="00A47115"/>
    <w:rsid w:val="00A528A4"/>
    <w:rsid w:val="00A6045A"/>
    <w:rsid w:val="00A6112A"/>
    <w:rsid w:val="00A66D78"/>
    <w:rsid w:val="00A71C48"/>
    <w:rsid w:val="00A76B99"/>
    <w:rsid w:val="00A85822"/>
    <w:rsid w:val="00A91759"/>
    <w:rsid w:val="00A94434"/>
    <w:rsid w:val="00AA2A3E"/>
    <w:rsid w:val="00AA4229"/>
    <w:rsid w:val="00AB28D6"/>
    <w:rsid w:val="00AB28E0"/>
    <w:rsid w:val="00AB7190"/>
    <w:rsid w:val="00AB73A7"/>
    <w:rsid w:val="00AC71AA"/>
    <w:rsid w:val="00AD5E85"/>
    <w:rsid w:val="00AF7789"/>
    <w:rsid w:val="00B03F70"/>
    <w:rsid w:val="00B06573"/>
    <w:rsid w:val="00B206FB"/>
    <w:rsid w:val="00B210D2"/>
    <w:rsid w:val="00B24341"/>
    <w:rsid w:val="00B259D6"/>
    <w:rsid w:val="00B26839"/>
    <w:rsid w:val="00B40E34"/>
    <w:rsid w:val="00B43B32"/>
    <w:rsid w:val="00B46480"/>
    <w:rsid w:val="00B50DF2"/>
    <w:rsid w:val="00B544BB"/>
    <w:rsid w:val="00B55EB5"/>
    <w:rsid w:val="00B6080E"/>
    <w:rsid w:val="00B60B8F"/>
    <w:rsid w:val="00B628C4"/>
    <w:rsid w:val="00B64374"/>
    <w:rsid w:val="00B665E8"/>
    <w:rsid w:val="00B67A5D"/>
    <w:rsid w:val="00B9508A"/>
    <w:rsid w:val="00B96D29"/>
    <w:rsid w:val="00B96E69"/>
    <w:rsid w:val="00BA1B83"/>
    <w:rsid w:val="00BA367D"/>
    <w:rsid w:val="00BA3780"/>
    <w:rsid w:val="00BB6B28"/>
    <w:rsid w:val="00BD384D"/>
    <w:rsid w:val="00BD60F2"/>
    <w:rsid w:val="00BE1C70"/>
    <w:rsid w:val="00BE4C99"/>
    <w:rsid w:val="00BE6908"/>
    <w:rsid w:val="00BF0283"/>
    <w:rsid w:val="00BF1FE7"/>
    <w:rsid w:val="00BF3196"/>
    <w:rsid w:val="00C02DA0"/>
    <w:rsid w:val="00C1434E"/>
    <w:rsid w:val="00C24E20"/>
    <w:rsid w:val="00C26005"/>
    <w:rsid w:val="00C35CCD"/>
    <w:rsid w:val="00C37981"/>
    <w:rsid w:val="00C42E71"/>
    <w:rsid w:val="00C437C0"/>
    <w:rsid w:val="00C57D44"/>
    <w:rsid w:val="00C63804"/>
    <w:rsid w:val="00C73BB6"/>
    <w:rsid w:val="00C81008"/>
    <w:rsid w:val="00C841F4"/>
    <w:rsid w:val="00C86560"/>
    <w:rsid w:val="00C86B17"/>
    <w:rsid w:val="00C8787B"/>
    <w:rsid w:val="00C9549A"/>
    <w:rsid w:val="00CA05D9"/>
    <w:rsid w:val="00CA09AB"/>
    <w:rsid w:val="00CA18E3"/>
    <w:rsid w:val="00CB0574"/>
    <w:rsid w:val="00CB2C4A"/>
    <w:rsid w:val="00CB4FCE"/>
    <w:rsid w:val="00CC5361"/>
    <w:rsid w:val="00CD00C1"/>
    <w:rsid w:val="00CD3E46"/>
    <w:rsid w:val="00CE164A"/>
    <w:rsid w:val="00CE6D3E"/>
    <w:rsid w:val="00D00BA5"/>
    <w:rsid w:val="00D013D7"/>
    <w:rsid w:val="00D03E48"/>
    <w:rsid w:val="00D12637"/>
    <w:rsid w:val="00D16664"/>
    <w:rsid w:val="00D16823"/>
    <w:rsid w:val="00D25054"/>
    <w:rsid w:val="00D31EEB"/>
    <w:rsid w:val="00D336A6"/>
    <w:rsid w:val="00D426A1"/>
    <w:rsid w:val="00D450DC"/>
    <w:rsid w:val="00D51EF1"/>
    <w:rsid w:val="00D5348E"/>
    <w:rsid w:val="00D57F86"/>
    <w:rsid w:val="00D6614A"/>
    <w:rsid w:val="00D67BE1"/>
    <w:rsid w:val="00D72181"/>
    <w:rsid w:val="00D7335D"/>
    <w:rsid w:val="00D741DC"/>
    <w:rsid w:val="00D86FE4"/>
    <w:rsid w:val="00D91CF2"/>
    <w:rsid w:val="00D923AC"/>
    <w:rsid w:val="00D9375E"/>
    <w:rsid w:val="00D9788F"/>
    <w:rsid w:val="00DA0F8B"/>
    <w:rsid w:val="00DD6B47"/>
    <w:rsid w:val="00DE2C27"/>
    <w:rsid w:val="00DE5803"/>
    <w:rsid w:val="00DE68E1"/>
    <w:rsid w:val="00DF24AD"/>
    <w:rsid w:val="00DF3306"/>
    <w:rsid w:val="00DF4026"/>
    <w:rsid w:val="00DF77A1"/>
    <w:rsid w:val="00E00393"/>
    <w:rsid w:val="00E02FB5"/>
    <w:rsid w:val="00E03CFB"/>
    <w:rsid w:val="00E10629"/>
    <w:rsid w:val="00E1656F"/>
    <w:rsid w:val="00E172DF"/>
    <w:rsid w:val="00E21555"/>
    <w:rsid w:val="00E27F1F"/>
    <w:rsid w:val="00E301F1"/>
    <w:rsid w:val="00E35F84"/>
    <w:rsid w:val="00E46D5A"/>
    <w:rsid w:val="00E46FD5"/>
    <w:rsid w:val="00E47921"/>
    <w:rsid w:val="00E51D05"/>
    <w:rsid w:val="00E5417D"/>
    <w:rsid w:val="00E60828"/>
    <w:rsid w:val="00E61AE6"/>
    <w:rsid w:val="00E81EB3"/>
    <w:rsid w:val="00E84ACF"/>
    <w:rsid w:val="00E84F41"/>
    <w:rsid w:val="00E92275"/>
    <w:rsid w:val="00E94182"/>
    <w:rsid w:val="00E956F3"/>
    <w:rsid w:val="00EA2F1D"/>
    <w:rsid w:val="00EA56DE"/>
    <w:rsid w:val="00EA577F"/>
    <w:rsid w:val="00EB4790"/>
    <w:rsid w:val="00EC5B76"/>
    <w:rsid w:val="00ED7A25"/>
    <w:rsid w:val="00EE3E43"/>
    <w:rsid w:val="00EE64D4"/>
    <w:rsid w:val="00EF0BFE"/>
    <w:rsid w:val="00EF0F23"/>
    <w:rsid w:val="00EF76B6"/>
    <w:rsid w:val="00F055C2"/>
    <w:rsid w:val="00F12A46"/>
    <w:rsid w:val="00F16FDB"/>
    <w:rsid w:val="00F173B2"/>
    <w:rsid w:val="00F17CF8"/>
    <w:rsid w:val="00F264C8"/>
    <w:rsid w:val="00F274BC"/>
    <w:rsid w:val="00F3404B"/>
    <w:rsid w:val="00F36F08"/>
    <w:rsid w:val="00F52A67"/>
    <w:rsid w:val="00F56E07"/>
    <w:rsid w:val="00F601F4"/>
    <w:rsid w:val="00F6158C"/>
    <w:rsid w:val="00F722F4"/>
    <w:rsid w:val="00F77474"/>
    <w:rsid w:val="00F817A3"/>
    <w:rsid w:val="00F818B8"/>
    <w:rsid w:val="00F82BB2"/>
    <w:rsid w:val="00F90DA5"/>
    <w:rsid w:val="00F94620"/>
    <w:rsid w:val="00F94834"/>
    <w:rsid w:val="00F953D0"/>
    <w:rsid w:val="00FA5C5A"/>
    <w:rsid w:val="00FB03F8"/>
    <w:rsid w:val="00FB6725"/>
    <w:rsid w:val="00FC03AE"/>
    <w:rsid w:val="00FC236E"/>
    <w:rsid w:val="00FC43B1"/>
    <w:rsid w:val="00FC73F9"/>
    <w:rsid w:val="00FD19CF"/>
    <w:rsid w:val="00FD1A73"/>
    <w:rsid w:val="00FD1CA4"/>
    <w:rsid w:val="00FD37DB"/>
    <w:rsid w:val="00FD3F6A"/>
    <w:rsid w:val="00FE0A9E"/>
    <w:rsid w:val="00FE4D4F"/>
    <w:rsid w:val="00FE5074"/>
    <w:rsid w:val="00FE5A3A"/>
    <w:rsid w:val="00FE7234"/>
    <w:rsid w:val="00FF0B16"/>
    <w:rsid w:val="00FF2367"/>
    <w:rsid w:val="00FF45DB"/>
    <w:rsid w:val="00FF56B0"/>
    <w:rsid w:val="00FF7D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ED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31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0F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F0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A31D4"/>
    <w:pPr>
      <w:keepNext/>
      <w:outlineLvl w:val="2"/>
    </w:pPr>
    <w:rPr>
      <w:b/>
      <w:sz w:val="28"/>
    </w:rPr>
  </w:style>
  <w:style w:type="paragraph" w:styleId="Heading8">
    <w:name w:val="heading 8"/>
    <w:basedOn w:val="Normal"/>
    <w:next w:val="Normal"/>
    <w:link w:val="Heading8Char"/>
    <w:uiPriority w:val="9"/>
    <w:unhideWhenUsed/>
    <w:qFormat/>
    <w:rsid w:val="002624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23"/>
    <w:pPr>
      <w:tabs>
        <w:tab w:val="center" w:pos="4680"/>
        <w:tab w:val="right" w:pos="9360"/>
      </w:tabs>
    </w:pPr>
  </w:style>
  <w:style w:type="character" w:customStyle="1" w:styleId="HeaderChar">
    <w:name w:val="Header Char"/>
    <w:basedOn w:val="DefaultParagraphFont"/>
    <w:link w:val="Header"/>
    <w:uiPriority w:val="99"/>
    <w:rsid w:val="00EF0F23"/>
  </w:style>
  <w:style w:type="paragraph" w:styleId="Footer">
    <w:name w:val="footer"/>
    <w:basedOn w:val="Normal"/>
    <w:link w:val="FooterChar"/>
    <w:uiPriority w:val="99"/>
    <w:unhideWhenUsed/>
    <w:rsid w:val="00EF0F23"/>
    <w:pPr>
      <w:tabs>
        <w:tab w:val="center" w:pos="4680"/>
        <w:tab w:val="right" w:pos="9360"/>
      </w:tabs>
    </w:pPr>
  </w:style>
  <w:style w:type="character" w:customStyle="1" w:styleId="FooterChar">
    <w:name w:val="Footer Char"/>
    <w:basedOn w:val="DefaultParagraphFont"/>
    <w:link w:val="Footer"/>
    <w:uiPriority w:val="99"/>
    <w:rsid w:val="00EF0F23"/>
  </w:style>
  <w:style w:type="character" w:customStyle="1" w:styleId="Heading1Char">
    <w:name w:val="Heading 1 Char"/>
    <w:basedOn w:val="DefaultParagraphFont"/>
    <w:link w:val="Heading1"/>
    <w:uiPriority w:val="9"/>
    <w:rsid w:val="00EF0F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F2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362D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2D5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6534"/>
    <w:pPr>
      <w:ind w:left="720"/>
      <w:contextualSpacing/>
    </w:pPr>
  </w:style>
  <w:style w:type="paragraph" w:styleId="BalloonText">
    <w:name w:val="Balloon Text"/>
    <w:basedOn w:val="Normal"/>
    <w:link w:val="BalloonTextChar"/>
    <w:uiPriority w:val="99"/>
    <w:semiHidden/>
    <w:unhideWhenUsed/>
    <w:rsid w:val="007856EB"/>
    <w:rPr>
      <w:rFonts w:ascii="Tahoma" w:hAnsi="Tahoma" w:cs="Tahoma"/>
      <w:sz w:val="16"/>
      <w:szCs w:val="16"/>
    </w:rPr>
  </w:style>
  <w:style w:type="character" w:customStyle="1" w:styleId="BalloonTextChar">
    <w:name w:val="Balloon Text Char"/>
    <w:basedOn w:val="DefaultParagraphFont"/>
    <w:link w:val="BalloonText"/>
    <w:uiPriority w:val="99"/>
    <w:semiHidden/>
    <w:rsid w:val="007856EB"/>
    <w:rPr>
      <w:rFonts w:ascii="Tahoma" w:hAnsi="Tahoma" w:cs="Tahoma"/>
      <w:sz w:val="16"/>
      <w:szCs w:val="16"/>
    </w:rPr>
  </w:style>
  <w:style w:type="character" w:styleId="Hyperlink">
    <w:name w:val="Hyperlink"/>
    <w:basedOn w:val="DefaultParagraphFont"/>
    <w:uiPriority w:val="99"/>
    <w:unhideWhenUsed/>
    <w:rsid w:val="007856EB"/>
    <w:rPr>
      <w:color w:val="0000FF" w:themeColor="hyperlink"/>
      <w:u w:val="single"/>
    </w:rPr>
  </w:style>
  <w:style w:type="character" w:customStyle="1" w:styleId="Heading3Char">
    <w:name w:val="Heading 3 Char"/>
    <w:basedOn w:val="DefaultParagraphFont"/>
    <w:link w:val="Heading3"/>
    <w:rsid w:val="000A31D4"/>
    <w:rPr>
      <w:rFonts w:ascii="Times New Roman" w:eastAsia="Times New Roman" w:hAnsi="Times New Roman" w:cs="Times New Roman"/>
      <w:b/>
      <w:sz w:val="28"/>
      <w:szCs w:val="20"/>
    </w:rPr>
  </w:style>
  <w:style w:type="paragraph" w:styleId="Subtitle">
    <w:name w:val="Subtitle"/>
    <w:basedOn w:val="Normal"/>
    <w:link w:val="SubtitleChar"/>
    <w:qFormat/>
    <w:rsid w:val="000A31D4"/>
    <w:rPr>
      <w:b/>
      <w:sz w:val="28"/>
    </w:rPr>
  </w:style>
  <w:style w:type="character" w:customStyle="1" w:styleId="SubtitleChar">
    <w:name w:val="Subtitle Char"/>
    <w:basedOn w:val="DefaultParagraphFont"/>
    <w:link w:val="Subtitle"/>
    <w:rsid w:val="000A31D4"/>
    <w:rPr>
      <w:rFonts w:ascii="Times New Roman" w:eastAsia="Times New Roman" w:hAnsi="Times New Roman" w:cs="Times New Roman"/>
      <w:b/>
      <w:sz w:val="28"/>
      <w:szCs w:val="20"/>
    </w:rPr>
  </w:style>
  <w:style w:type="paragraph" w:customStyle="1" w:styleId="Default">
    <w:name w:val="Default"/>
    <w:rsid w:val="00370F1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Strong">
    <w:name w:val="Strong"/>
    <w:basedOn w:val="DefaultParagraphFont"/>
    <w:uiPriority w:val="22"/>
    <w:qFormat/>
    <w:rsid w:val="00E03CFB"/>
    <w:rPr>
      <w:b/>
      <w:bCs/>
    </w:rPr>
  </w:style>
  <w:style w:type="paragraph" w:styleId="NormalWeb">
    <w:name w:val="Normal (Web)"/>
    <w:basedOn w:val="Normal"/>
    <w:uiPriority w:val="99"/>
    <w:unhideWhenUsed/>
    <w:rsid w:val="00E03CFB"/>
    <w:pPr>
      <w:spacing w:after="240"/>
      <w:ind w:left="225" w:right="225"/>
    </w:pPr>
    <w:rPr>
      <w:sz w:val="24"/>
      <w:szCs w:val="24"/>
    </w:rPr>
  </w:style>
  <w:style w:type="paragraph" w:styleId="FootnoteText">
    <w:name w:val="footnote text"/>
    <w:basedOn w:val="Normal"/>
    <w:link w:val="FootnoteTextChar"/>
    <w:uiPriority w:val="99"/>
    <w:semiHidden/>
    <w:unhideWhenUsed/>
    <w:rsid w:val="00632D6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32D60"/>
    <w:rPr>
      <w:sz w:val="20"/>
      <w:szCs w:val="20"/>
    </w:rPr>
  </w:style>
  <w:style w:type="character" w:styleId="FootnoteReference">
    <w:name w:val="footnote reference"/>
    <w:basedOn w:val="DefaultParagraphFont"/>
    <w:uiPriority w:val="99"/>
    <w:semiHidden/>
    <w:unhideWhenUsed/>
    <w:rsid w:val="00632D60"/>
    <w:rPr>
      <w:vertAlign w:val="superscript"/>
    </w:rPr>
  </w:style>
  <w:style w:type="paragraph" w:styleId="BodyTextIndent">
    <w:name w:val="Body Text Indent"/>
    <w:basedOn w:val="Normal"/>
    <w:link w:val="BodyTextIndentChar"/>
    <w:semiHidden/>
    <w:rsid w:val="00130ACA"/>
    <w:pPr>
      <w:ind w:left="1080"/>
    </w:pPr>
    <w:rPr>
      <w:rFonts w:ascii="Big Caslon" w:eastAsia="Times" w:hAnsi="Big Caslon"/>
      <w:color w:val="000000"/>
      <w:sz w:val="22"/>
    </w:rPr>
  </w:style>
  <w:style w:type="character" w:customStyle="1" w:styleId="BodyTextIndentChar">
    <w:name w:val="Body Text Indent Char"/>
    <w:basedOn w:val="DefaultParagraphFont"/>
    <w:link w:val="BodyTextIndent"/>
    <w:semiHidden/>
    <w:rsid w:val="00130ACA"/>
    <w:rPr>
      <w:rFonts w:ascii="Big Caslon" w:eastAsia="Times" w:hAnsi="Big Caslon" w:cs="Times New Roman"/>
      <w:color w:val="000000"/>
      <w:szCs w:val="20"/>
    </w:rPr>
  </w:style>
  <w:style w:type="character" w:customStyle="1" w:styleId="addressdispform">
    <w:name w:val="addressdispform"/>
    <w:basedOn w:val="DefaultParagraphFont"/>
    <w:rsid w:val="000F395A"/>
  </w:style>
  <w:style w:type="character" w:customStyle="1" w:styleId="apple-converted-space">
    <w:name w:val="apple-converted-space"/>
    <w:basedOn w:val="DefaultParagraphFont"/>
    <w:rsid w:val="00141E33"/>
  </w:style>
  <w:style w:type="paragraph" w:styleId="HTMLPreformatted">
    <w:name w:val="HTML Preformatted"/>
    <w:basedOn w:val="Normal"/>
    <w:link w:val="HTMLPreformattedChar"/>
    <w:uiPriority w:val="99"/>
    <w:semiHidden/>
    <w:unhideWhenUsed/>
    <w:rsid w:val="00681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817E5"/>
    <w:rPr>
      <w:rFonts w:ascii="Courier New" w:eastAsia="Times New Roman" w:hAnsi="Courier New" w:cs="Courier New"/>
      <w:sz w:val="20"/>
      <w:szCs w:val="20"/>
    </w:rPr>
  </w:style>
  <w:style w:type="table" w:styleId="TableGrid">
    <w:name w:val="Table Grid"/>
    <w:basedOn w:val="TableNormal"/>
    <w:uiPriority w:val="59"/>
    <w:rsid w:val="00014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A367D"/>
  </w:style>
  <w:style w:type="character" w:customStyle="1" w:styleId="Heading8Char">
    <w:name w:val="Heading 8 Char"/>
    <w:basedOn w:val="DefaultParagraphFont"/>
    <w:link w:val="Heading8"/>
    <w:uiPriority w:val="9"/>
    <w:rsid w:val="002624DB"/>
    <w:rPr>
      <w:rFonts w:asciiTheme="majorHAnsi" w:eastAsiaTheme="majorEastAsia" w:hAnsiTheme="majorHAnsi" w:cstheme="majorBidi"/>
      <w:color w:val="272727" w:themeColor="text1" w:themeTint="D8"/>
      <w:sz w:val="21"/>
      <w:szCs w:val="21"/>
    </w:rPr>
  </w:style>
  <w:style w:type="character" w:customStyle="1" w:styleId="distance-badge">
    <w:name w:val="distance-badge"/>
    <w:basedOn w:val="DefaultParagraphFont"/>
    <w:rsid w:val="00745B66"/>
  </w:style>
  <w:style w:type="character" w:customStyle="1" w:styleId="visually-hidden">
    <w:name w:val="visually-hidden"/>
    <w:basedOn w:val="DefaultParagraphFont"/>
    <w:rsid w:val="00745B66"/>
  </w:style>
  <w:style w:type="character" w:customStyle="1" w:styleId="dist-value">
    <w:name w:val="dist-value"/>
    <w:basedOn w:val="DefaultParagraphFont"/>
    <w:rsid w:val="00745B66"/>
  </w:style>
  <w:style w:type="paragraph" w:customStyle="1" w:styleId="p1">
    <w:name w:val="p1"/>
    <w:basedOn w:val="Normal"/>
    <w:rsid w:val="002E759A"/>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727">
      <w:bodyDiv w:val="1"/>
      <w:marLeft w:val="0"/>
      <w:marRight w:val="0"/>
      <w:marTop w:val="0"/>
      <w:marBottom w:val="0"/>
      <w:divBdr>
        <w:top w:val="none" w:sz="0" w:space="0" w:color="auto"/>
        <w:left w:val="none" w:sz="0" w:space="0" w:color="auto"/>
        <w:bottom w:val="none" w:sz="0" w:space="0" w:color="auto"/>
        <w:right w:val="none" w:sz="0" w:space="0" w:color="auto"/>
      </w:divBdr>
    </w:div>
    <w:div w:id="187837643">
      <w:bodyDiv w:val="1"/>
      <w:marLeft w:val="0"/>
      <w:marRight w:val="0"/>
      <w:marTop w:val="0"/>
      <w:marBottom w:val="0"/>
      <w:divBdr>
        <w:top w:val="none" w:sz="0" w:space="0" w:color="auto"/>
        <w:left w:val="none" w:sz="0" w:space="0" w:color="auto"/>
        <w:bottom w:val="none" w:sz="0" w:space="0" w:color="auto"/>
        <w:right w:val="none" w:sz="0" w:space="0" w:color="auto"/>
      </w:divBdr>
    </w:div>
    <w:div w:id="321348437">
      <w:bodyDiv w:val="1"/>
      <w:marLeft w:val="0"/>
      <w:marRight w:val="0"/>
      <w:marTop w:val="0"/>
      <w:marBottom w:val="0"/>
      <w:divBdr>
        <w:top w:val="none" w:sz="0" w:space="0" w:color="auto"/>
        <w:left w:val="none" w:sz="0" w:space="0" w:color="auto"/>
        <w:bottom w:val="none" w:sz="0" w:space="0" w:color="auto"/>
        <w:right w:val="none" w:sz="0" w:space="0" w:color="auto"/>
      </w:divBdr>
    </w:div>
    <w:div w:id="406419026">
      <w:bodyDiv w:val="1"/>
      <w:marLeft w:val="0"/>
      <w:marRight w:val="0"/>
      <w:marTop w:val="0"/>
      <w:marBottom w:val="0"/>
      <w:divBdr>
        <w:top w:val="none" w:sz="0" w:space="0" w:color="auto"/>
        <w:left w:val="none" w:sz="0" w:space="0" w:color="auto"/>
        <w:bottom w:val="none" w:sz="0" w:space="0" w:color="auto"/>
        <w:right w:val="none" w:sz="0" w:space="0" w:color="auto"/>
      </w:divBdr>
    </w:div>
    <w:div w:id="523205762">
      <w:bodyDiv w:val="1"/>
      <w:marLeft w:val="0"/>
      <w:marRight w:val="0"/>
      <w:marTop w:val="0"/>
      <w:marBottom w:val="0"/>
      <w:divBdr>
        <w:top w:val="none" w:sz="0" w:space="0" w:color="auto"/>
        <w:left w:val="none" w:sz="0" w:space="0" w:color="auto"/>
        <w:bottom w:val="none" w:sz="0" w:space="0" w:color="auto"/>
        <w:right w:val="none" w:sz="0" w:space="0" w:color="auto"/>
      </w:divBdr>
      <w:divsChild>
        <w:div w:id="1391227232">
          <w:marLeft w:val="0"/>
          <w:marRight w:val="0"/>
          <w:marTop w:val="0"/>
          <w:marBottom w:val="0"/>
          <w:divBdr>
            <w:top w:val="none" w:sz="0" w:space="0" w:color="auto"/>
            <w:left w:val="none" w:sz="0" w:space="0" w:color="auto"/>
            <w:bottom w:val="none" w:sz="0" w:space="0" w:color="auto"/>
            <w:right w:val="none" w:sz="0" w:space="0" w:color="auto"/>
          </w:divBdr>
        </w:div>
      </w:divsChild>
    </w:div>
    <w:div w:id="769392645">
      <w:bodyDiv w:val="1"/>
      <w:marLeft w:val="0"/>
      <w:marRight w:val="0"/>
      <w:marTop w:val="0"/>
      <w:marBottom w:val="0"/>
      <w:divBdr>
        <w:top w:val="none" w:sz="0" w:space="0" w:color="auto"/>
        <w:left w:val="none" w:sz="0" w:space="0" w:color="auto"/>
        <w:bottom w:val="none" w:sz="0" w:space="0" w:color="auto"/>
        <w:right w:val="none" w:sz="0" w:space="0" w:color="auto"/>
      </w:divBdr>
    </w:div>
    <w:div w:id="855578240">
      <w:bodyDiv w:val="1"/>
      <w:marLeft w:val="0"/>
      <w:marRight w:val="0"/>
      <w:marTop w:val="0"/>
      <w:marBottom w:val="0"/>
      <w:divBdr>
        <w:top w:val="none" w:sz="0" w:space="0" w:color="auto"/>
        <w:left w:val="none" w:sz="0" w:space="0" w:color="auto"/>
        <w:bottom w:val="none" w:sz="0" w:space="0" w:color="auto"/>
        <w:right w:val="none" w:sz="0" w:space="0" w:color="auto"/>
      </w:divBdr>
    </w:div>
    <w:div w:id="892230630">
      <w:bodyDiv w:val="1"/>
      <w:marLeft w:val="0"/>
      <w:marRight w:val="0"/>
      <w:marTop w:val="0"/>
      <w:marBottom w:val="0"/>
      <w:divBdr>
        <w:top w:val="none" w:sz="0" w:space="0" w:color="auto"/>
        <w:left w:val="none" w:sz="0" w:space="0" w:color="auto"/>
        <w:bottom w:val="none" w:sz="0" w:space="0" w:color="auto"/>
        <w:right w:val="none" w:sz="0" w:space="0" w:color="auto"/>
      </w:divBdr>
    </w:div>
    <w:div w:id="900093554">
      <w:bodyDiv w:val="1"/>
      <w:marLeft w:val="0"/>
      <w:marRight w:val="0"/>
      <w:marTop w:val="0"/>
      <w:marBottom w:val="0"/>
      <w:divBdr>
        <w:top w:val="none" w:sz="0" w:space="0" w:color="auto"/>
        <w:left w:val="none" w:sz="0" w:space="0" w:color="auto"/>
        <w:bottom w:val="none" w:sz="0" w:space="0" w:color="auto"/>
        <w:right w:val="none" w:sz="0" w:space="0" w:color="auto"/>
      </w:divBdr>
    </w:div>
    <w:div w:id="937566745">
      <w:bodyDiv w:val="1"/>
      <w:marLeft w:val="0"/>
      <w:marRight w:val="0"/>
      <w:marTop w:val="0"/>
      <w:marBottom w:val="0"/>
      <w:divBdr>
        <w:top w:val="none" w:sz="0" w:space="0" w:color="auto"/>
        <w:left w:val="none" w:sz="0" w:space="0" w:color="auto"/>
        <w:bottom w:val="none" w:sz="0" w:space="0" w:color="auto"/>
        <w:right w:val="none" w:sz="0" w:space="0" w:color="auto"/>
      </w:divBdr>
    </w:div>
    <w:div w:id="961617940">
      <w:bodyDiv w:val="1"/>
      <w:marLeft w:val="0"/>
      <w:marRight w:val="0"/>
      <w:marTop w:val="0"/>
      <w:marBottom w:val="0"/>
      <w:divBdr>
        <w:top w:val="none" w:sz="0" w:space="0" w:color="auto"/>
        <w:left w:val="none" w:sz="0" w:space="0" w:color="auto"/>
        <w:bottom w:val="none" w:sz="0" w:space="0" w:color="auto"/>
        <w:right w:val="none" w:sz="0" w:space="0" w:color="auto"/>
      </w:divBdr>
      <w:divsChild>
        <w:div w:id="1025864890">
          <w:marLeft w:val="547"/>
          <w:marRight w:val="0"/>
          <w:marTop w:val="154"/>
          <w:marBottom w:val="0"/>
          <w:divBdr>
            <w:top w:val="none" w:sz="0" w:space="0" w:color="auto"/>
            <w:left w:val="none" w:sz="0" w:space="0" w:color="auto"/>
            <w:bottom w:val="none" w:sz="0" w:space="0" w:color="auto"/>
            <w:right w:val="none" w:sz="0" w:space="0" w:color="auto"/>
          </w:divBdr>
        </w:div>
        <w:div w:id="131219622">
          <w:marLeft w:val="547"/>
          <w:marRight w:val="0"/>
          <w:marTop w:val="154"/>
          <w:marBottom w:val="0"/>
          <w:divBdr>
            <w:top w:val="none" w:sz="0" w:space="0" w:color="auto"/>
            <w:left w:val="none" w:sz="0" w:space="0" w:color="auto"/>
            <w:bottom w:val="none" w:sz="0" w:space="0" w:color="auto"/>
            <w:right w:val="none" w:sz="0" w:space="0" w:color="auto"/>
          </w:divBdr>
        </w:div>
      </w:divsChild>
    </w:div>
    <w:div w:id="967666771">
      <w:bodyDiv w:val="1"/>
      <w:marLeft w:val="0"/>
      <w:marRight w:val="0"/>
      <w:marTop w:val="0"/>
      <w:marBottom w:val="0"/>
      <w:divBdr>
        <w:top w:val="none" w:sz="0" w:space="0" w:color="auto"/>
        <w:left w:val="none" w:sz="0" w:space="0" w:color="auto"/>
        <w:bottom w:val="none" w:sz="0" w:space="0" w:color="auto"/>
        <w:right w:val="none" w:sz="0" w:space="0" w:color="auto"/>
      </w:divBdr>
      <w:divsChild>
        <w:div w:id="302196290">
          <w:marLeft w:val="0"/>
          <w:marRight w:val="0"/>
          <w:marTop w:val="0"/>
          <w:marBottom w:val="0"/>
          <w:divBdr>
            <w:top w:val="none" w:sz="0" w:space="0" w:color="auto"/>
            <w:left w:val="none" w:sz="0" w:space="0" w:color="auto"/>
            <w:bottom w:val="none" w:sz="0" w:space="0" w:color="auto"/>
            <w:right w:val="none" w:sz="0" w:space="0" w:color="auto"/>
          </w:divBdr>
          <w:divsChild>
            <w:div w:id="1811512019">
              <w:marLeft w:val="0"/>
              <w:marRight w:val="0"/>
              <w:marTop w:val="0"/>
              <w:marBottom w:val="0"/>
              <w:divBdr>
                <w:top w:val="none" w:sz="0" w:space="0" w:color="auto"/>
                <w:left w:val="none" w:sz="0" w:space="0" w:color="auto"/>
                <w:bottom w:val="none" w:sz="0" w:space="0" w:color="auto"/>
                <w:right w:val="none" w:sz="0" w:space="0" w:color="auto"/>
              </w:divBdr>
              <w:divsChild>
                <w:div w:id="1265722938">
                  <w:marLeft w:val="0"/>
                  <w:marRight w:val="0"/>
                  <w:marTop w:val="0"/>
                  <w:marBottom w:val="0"/>
                  <w:divBdr>
                    <w:top w:val="none" w:sz="0" w:space="0" w:color="auto"/>
                    <w:left w:val="none" w:sz="0" w:space="0" w:color="auto"/>
                    <w:bottom w:val="none" w:sz="0" w:space="0" w:color="auto"/>
                    <w:right w:val="none" w:sz="0" w:space="0" w:color="auto"/>
                  </w:divBdr>
                </w:div>
                <w:div w:id="17160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68153">
      <w:bodyDiv w:val="1"/>
      <w:marLeft w:val="0"/>
      <w:marRight w:val="0"/>
      <w:marTop w:val="0"/>
      <w:marBottom w:val="0"/>
      <w:divBdr>
        <w:top w:val="none" w:sz="0" w:space="0" w:color="auto"/>
        <w:left w:val="none" w:sz="0" w:space="0" w:color="auto"/>
        <w:bottom w:val="none" w:sz="0" w:space="0" w:color="auto"/>
        <w:right w:val="none" w:sz="0" w:space="0" w:color="auto"/>
      </w:divBdr>
      <w:divsChild>
        <w:div w:id="198325219">
          <w:marLeft w:val="547"/>
          <w:marRight w:val="0"/>
          <w:marTop w:val="134"/>
          <w:marBottom w:val="0"/>
          <w:divBdr>
            <w:top w:val="none" w:sz="0" w:space="0" w:color="auto"/>
            <w:left w:val="none" w:sz="0" w:space="0" w:color="auto"/>
            <w:bottom w:val="none" w:sz="0" w:space="0" w:color="auto"/>
            <w:right w:val="none" w:sz="0" w:space="0" w:color="auto"/>
          </w:divBdr>
        </w:div>
        <w:div w:id="2060207107">
          <w:marLeft w:val="547"/>
          <w:marRight w:val="0"/>
          <w:marTop w:val="134"/>
          <w:marBottom w:val="0"/>
          <w:divBdr>
            <w:top w:val="none" w:sz="0" w:space="0" w:color="auto"/>
            <w:left w:val="none" w:sz="0" w:space="0" w:color="auto"/>
            <w:bottom w:val="none" w:sz="0" w:space="0" w:color="auto"/>
            <w:right w:val="none" w:sz="0" w:space="0" w:color="auto"/>
          </w:divBdr>
        </w:div>
      </w:divsChild>
    </w:div>
    <w:div w:id="1170371620">
      <w:bodyDiv w:val="1"/>
      <w:marLeft w:val="0"/>
      <w:marRight w:val="0"/>
      <w:marTop w:val="0"/>
      <w:marBottom w:val="0"/>
      <w:divBdr>
        <w:top w:val="none" w:sz="0" w:space="0" w:color="auto"/>
        <w:left w:val="none" w:sz="0" w:space="0" w:color="auto"/>
        <w:bottom w:val="none" w:sz="0" w:space="0" w:color="auto"/>
        <w:right w:val="none" w:sz="0" w:space="0" w:color="auto"/>
      </w:divBdr>
    </w:div>
    <w:div w:id="1182665455">
      <w:bodyDiv w:val="1"/>
      <w:marLeft w:val="0"/>
      <w:marRight w:val="0"/>
      <w:marTop w:val="0"/>
      <w:marBottom w:val="0"/>
      <w:divBdr>
        <w:top w:val="none" w:sz="0" w:space="0" w:color="auto"/>
        <w:left w:val="none" w:sz="0" w:space="0" w:color="auto"/>
        <w:bottom w:val="none" w:sz="0" w:space="0" w:color="auto"/>
        <w:right w:val="none" w:sz="0" w:space="0" w:color="auto"/>
      </w:divBdr>
    </w:div>
    <w:div w:id="1268925599">
      <w:bodyDiv w:val="1"/>
      <w:marLeft w:val="0"/>
      <w:marRight w:val="0"/>
      <w:marTop w:val="0"/>
      <w:marBottom w:val="0"/>
      <w:divBdr>
        <w:top w:val="none" w:sz="0" w:space="0" w:color="auto"/>
        <w:left w:val="none" w:sz="0" w:space="0" w:color="auto"/>
        <w:bottom w:val="none" w:sz="0" w:space="0" w:color="auto"/>
        <w:right w:val="none" w:sz="0" w:space="0" w:color="auto"/>
      </w:divBdr>
      <w:divsChild>
        <w:div w:id="1206529225">
          <w:marLeft w:val="547"/>
          <w:marRight w:val="0"/>
          <w:marTop w:val="154"/>
          <w:marBottom w:val="0"/>
          <w:divBdr>
            <w:top w:val="none" w:sz="0" w:space="0" w:color="auto"/>
            <w:left w:val="none" w:sz="0" w:space="0" w:color="auto"/>
            <w:bottom w:val="none" w:sz="0" w:space="0" w:color="auto"/>
            <w:right w:val="none" w:sz="0" w:space="0" w:color="auto"/>
          </w:divBdr>
        </w:div>
        <w:div w:id="967008355">
          <w:marLeft w:val="547"/>
          <w:marRight w:val="0"/>
          <w:marTop w:val="154"/>
          <w:marBottom w:val="0"/>
          <w:divBdr>
            <w:top w:val="none" w:sz="0" w:space="0" w:color="auto"/>
            <w:left w:val="none" w:sz="0" w:space="0" w:color="auto"/>
            <w:bottom w:val="none" w:sz="0" w:space="0" w:color="auto"/>
            <w:right w:val="none" w:sz="0" w:space="0" w:color="auto"/>
          </w:divBdr>
        </w:div>
      </w:divsChild>
    </w:div>
    <w:div w:id="1279525749">
      <w:bodyDiv w:val="1"/>
      <w:marLeft w:val="0"/>
      <w:marRight w:val="0"/>
      <w:marTop w:val="0"/>
      <w:marBottom w:val="0"/>
      <w:divBdr>
        <w:top w:val="none" w:sz="0" w:space="0" w:color="auto"/>
        <w:left w:val="none" w:sz="0" w:space="0" w:color="auto"/>
        <w:bottom w:val="none" w:sz="0" w:space="0" w:color="auto"/>
        <w:right w:val="none" w:sz="0" w:space="0" w:color="auto"/>
      </w:divBdr>
    </w:div>
    <w:div w:id="1292056001">
      <w:bodyDiv w:val="1"/>
      <w:marLeft w:val="0"/>
      <w:marRight w:val="0"/>
      <w:marTop w:val="0"/>
      <w:marBottom w:val="0"/>
      <w:divBdr>
        <w:top w:val="none" w:sz="0" w:space="0" w:color="auto"/>
        <w:left w:val="none" w:sz="0" w:space="0" w:color="auto"/>
        <w:bottom w:val="none" w:sz="0" w:space="0" w:color="auto"/>
        <w:right w:val="none" w:sz="0" w:space="0" w:color="auto"/>
      </w:divBdr>
      <w:divsChild>
        <w:div w:id="457844438">
          <w:marLeft w:val="547"/>
          <w:marRight w:val="0"/>
          <w:marTop w:val="154"/>
          <w:marBottom w:val="0"/>
          <w:divBdr>
            <w:top w:val="none" w:sz="0" w:space="0" w:color="auto"/>
            <w:left w:val="none" w:sz="0" w:space="0" w:color="auto"/>
            <w:bottom w:val="none" w:sz="0" w:space="0" w:color="auto"/>
            <w:right w:val="none" w:sz="0" w:space="0" w:color="auto"/>
          </w:divBdr>
        </w:div>
        <w:div w:id="624695443">
          <w:marLeft w:val="547"/>
          <w:marRight w:val="0"/>
          <w:marTop w:val="154"/>
          <w:marBottom w:val="0"/>
          <w:divBdr>
            <w:top w:val="none" w:sz="0" w:space="0" w:color="auto"/>
            <w:left w:val="none" w:sz="0" w:space="0" w:color="auto"/>
            <w:bottom w:val="none" w:sz="0" w:space="0" w:color="auto"/>
            <w:right w:val="none" w:sz="0" w:space="0" w:color="auto"/>
          </w:divBdr>
        </w:div>
      </w:divsChild>
    </w:div>
    <w:div w:id="1301106303">
      <w:bodyDiv w:val="1"/>
      <w:marLeft w:val="0"/>
      <w:marRight w:val="0"/>
      <w:marTop w:val="0"/>
      <w:marBottom w:val="0"/>
      <w:divBdr>
        <w:top w:val="none" w:sz="0" w:space="0" w:color="auto"/>
        <w:left w:val="none" w:sz="0" w:space="0" w:color="auto"/>
        <w:bottom w:val="none" w:sz="0" w:space="0" w:color="auto"/>
        <w:right w:val="none" w:sz="0" w:space="0" w:color="auto"/>
      </w:divBdr>
    </w:div>
    <w:div w:id="1426457140">
      <w:bodyDiv w:val="1"/>
      <w:marLeft w:val="0"/>
      <w:marRight w:val="0"/>
      <w:marTop w:val="0"/>
      <w:marBottom w:val="0"/>
      <w:divBdr>
        <w:top w:val="none" w:sz="0" w:space="0" w:color="auto"/>
        <w:left w:val="none" w:sz="0" w:space="0" w:color="auto"/>
        <w:bottom w:val="none" w:sz="0" w:space="0" w:color="auto"/>
        <w:right w:val="none" w:sz="0" w:space="0" w:color="auto"/>
      </w:divBdr>
    </w:div>
    <w:div w:id="1461462028">
      <w:bodyDiv w:val="1"/>
      <w:marLeft w:val="0"/>
      <w:marRight w:val="0"/>
      <w:marTop w:val="0"/>
      <w:marBottom w:val="0"/>
      <w:divBdr>
        <w:top w:val="none" w:sz="0" w:space="0" w:color="auto"/>
        <w:left w:val="none" w:sz="0" w:space="0" w:color="auto"/>
        <w:bottom w:val="none" w:sz="0" w:space="0" w:color="auto"/>
        <w:right w:val="none" w:sz="0" w:space="0" w:color="auto"/>
      </w:divBdr>
    </w:div>
    <w:div w:id="1518544774">
      <w:bodyDiv w:val="1"/>
      <w:marLeft w:val="0"/>
      <w:marRight w:val="0"/>
      <w:marTop w:val="0"/>
      <w:marBottom w:val="0"/>
      <w:divBdr>
        <w:top w:val="none" w:sz="0" w:space="0" w:color="auto"/>
        <w:left w:val="none" w:sz="0" w:space="0" w:color="auto"/>
        <w:bottom w:val="none" w:sz="0" w:space="0" w:color="auto"/>
        <w:right w:val="none" w:sz="0" w:space="0" w:color="auto"/>
      </w:divBdr>
    </w:div>
    <w:div w:id="1532379461">
      <w:bodyDiv w:val="1"/>
      <w:marLeft w:val="0"/>
      <w:marRight w:val="0"/>
      <w:marTop w:val="0"/>
      <w:marBottom w:val="0"/>
      <w:divBdr>
        <w:top w:val="single" w:sz="48" w:space="0" w:color="212121"/>
        <w:left w:val="none" w:sz="0" w:space="0" w:color="auto"/>
        <w:bottom w:val="none" w:sz="0" w:space="0" w:color="auto"/>
        <w:right w:val="none" w:sz="0" w:space="0" w:color="auto"/>
      </w:divBdr>
      <w:divsChild>
        <w:div w:id="1400052787">
          <w:marLeft w:val="0"/>
          <w:marRight w:val="0"/>
          <w:marTop w:val="30"/>
          <w:marBottom w:val="480"/>
          <w:divBdr>
            <w:top w:val="none" w:sz="0" w:space="0" w:color="auto"/>
            <w:left w:val="none" w:sz="0" w:space="0" w:color="auto"/>
            <w:bottom w:val="none" w:sz="0" w:space="0" w:color="auto"/>
            <w:right w:val="none" w:sz="0" w:space="0" w:color="auto"/>
          </w:divBdr>
          <w:divsChild>
            <w:div w:id="3666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83">
      <w:bodyDiv w:val="1"/>
      <w:marLeft w:val="0"/>
      <w:marRight w:val="0"/>
      <w:marTop w:val="0"/>
      <w:marBottom w:val="0"/>
      <w:divBdr>
        <w:top w:val="none" w:sz="0" w:space="0" w:color="auto"/>
        <w:left w:val="none" w:sz="0" w:space="0" w:color="auto"/>
        <w:bottom w:val="none" w:sz="0" w:space="0" w:color="auto"/>
        <w:right w:val="none" w:sz="0" w:space="0" w:color="auto"/>
      </w:divBdr>
      <w:divsChild>
        <w:div w:id="1541474446">
          <w:marLeft w:val="547"/>
          <w:marRight w:val="0"/>
          <w:marTop w:val="154"/>
          <w:marBottom w:val="0"/>
          <w:divBdr>
            <w:top w:val="none" w:sz="0" w:space="0" w:color="auto"/>
            <w:left w:val="none" w:sz="0" w:space="0" w:color="auto"/>
            <w:bottom w:val="none" w:sz="0" w:space="0" w:color="auto"/>
            <w:right w:val="none" w:sz="0" w:space="0" w:color="auto"/>
          </w:divBdr>
        </w:div>
        <w:div w:id="1726761027">
          <w:marLeft w:val="547"/>
          <w:marRight w:val="0"/>
          <w:marTop w:val="154"/>
          <w:marBottom w:val="0"/>
          <w:divBdr>
            <w:top w:val="none" w:sz="0" w:space="0" w:color="auto"/>
            <w:left w:val="none" w:sz="0" w:space="0" w:color="auto"/>
            <w:bottom w:val="none" w:sz="0" w:space="0" w:color="auto"/>
            <w:right w:val="none" w:sz="0" w:space="0" w:color="auto"/>
          </w:divBdr>
        </w:div>
      </w:divsChild>
    </w:div>
    <w:div w:id="1695840244">
      <w:bodyDiv w:val="1"/>
      <w:marLeft w:val="0"/>
      <w:marRight w:val="0"/>
      <w:marTop w:val="0"/>
      <w:marBottom w:val="0"/>
      <w:divBdr>
        <w:top w:val="none" w:sz="0" w:space="0" w:color="auto"/>
        <w:left w:val="none" w:sz="0" w:space="0" w:color="auto"/>
        <w:bottom w:val="none" w:sz="0" w:space="0" w:color="auto"/>
        <w:right w:val="none" w:sz="0" w:space="0" w:color="auto"/>
      </w:divBdr>
      <w:divsChild>
        <w:div w:id="623851486">
          <w:marLeft w:val="547"/>
          <w:marRight w:val="0"/>
          <w:marTop w:val="154"/>
          <w:marBottom w:val="0"/>
          <w:divBdr>
            <w:top w:val="none" w:sz="0" w:space="0" w:color="auto"/>
            <w:left w:val="none" w:sz="0" w:space="0" w:color="auto"/>
            <w:bottom w:val="none" w:sz="0" w:space="0" w:color="auto"/>
            <w:right w:val="none" w:sz="0" w:space="0" w:color="auto"/>
          </w:divBdr>
        </w:div>
        <w:div w:id="1689796428">
          <w:marLeft w:val="547"/>
          <w:marRight w:val="0"/>
          <w:marTop w:val="154"/>
          <w:marBottom w:val="0"/>
          <w:divBdr>
            <w:top w:val="none" w:sz="0" w:space="0" w:color="auto"/>
            <w:left w:val="none" w:sz="0" w:space="0" w:color="auto"/>
            <w:bottom w:val="none" w:sz="0" w:space="0" w:color="auto"/>
            <w:right w:val="none" w:sz="0" w:space="0" w:color="auto"/>
          </w:divBdr>
        </w:div>
      </w:divsChild>
    </w:div>
    <w:div w:id="1990741074">
      <w:bodyDiv w:val="1"/>
      <w:marLeft w:val="0"/>
      <w:marRight w:val="0"/>
      <w:marTop w:val="0"/>
      <w:marBottom w:val="0"/>
      <w:divBdr>
        <w:top w:val="none" w:sz="0" w:space="0" w:color="auto"/>
        <w:left w:val="none" w:sz="0" w:space="0" w:color="auto"/>
        <w:bottom w:val="none" w:sz="0" w:space="0" w:color="auto"/>
        <w:right w:val="none" w:sz="0" w:space="0" w:color="auto"/>
      </w:divBdr>
      <w:divsChild>
        <w:div w:id="1486237509">
          <w:marLeft w:val="547"/>
          <w:marRight w:val="0"/>
          <w:marTop w:val="154"/>
          <w:marBottom w:val="0"/>
          <w:divBdr>
            <w:top w:val="none" w:sz="0" w:space="0" w:color="auto"/>
            <w:left w:val="none" w:sz="0" w:space="0" w:color="auto"/>
            <w:bottom w:val="none" w:sz="0" w:space="0" w:color="auto"/>
            <w:right w:val="none" w:sz="0" w:space="0" w:color="auto"/>
          </w:divBdr>
        </w:div>
        <w:div w:id="1844853180">
          <w:marLeft w:val="547"/>
          <w:marRight w:val="0"/>
          <w:marTop w:val="154"/>
          <w:marBottom w:val="0"/>
          <w:divBdr>
            <w:top w:val="none" w:sz="0" w:space="0" w:color="auto"/>
            <w:left w:val="none" w:sz="0" w:space="0" w:color="auto"/>
            <w:bottom w:val="none" w:sz="0" w:space="0" w:color="auto"/>
            <w:right w:val="none" w:sz="0" w:space="0" w:color="auto"/>
          </w:divBdr>
        </w:div>
      </w:divsChild>
    </w:div>
    <w:div w:id="2000697162">
      <w:bodyDiv w:val="1"/>
      <w:marLeft w:val="0"/>
      <w:marRight w:val="0"/>
      <w:marTop w:val="0"/>
      <w:marBottom w:val="0"/>
      <w:divBdr>
        <w:top w:val="none" w:sz="0" w:space="0" w:color="auto"/>
        <w:left w:val="none" w:sz="0" w:space="0" w:color="auto"/>
        <w:bottom w:val="none" w:sz="0" w:space="0" w:color="auto"/>
        <w:right w:val="none" w:sz="0" w:space="0" w:color="auto"/>
      </w:divBdr>
    </w:div>
    <w:div w:id="2046756294">
      <w:bodyDiv w:val="1"/>
      <w:marLeft w:val="0"/>
      <w:marRight w:val="0"/>
      <w:marTop w:val="0"/>
      <w:marBottom w:val="0"/>
      <w:divBdr>
        <w:top w:val="none" w:sz="0" w:space="0" w:color="auto"/>
        <w:left w:val="none" w:sz="0" w:space="0" w:color="auto"/>
        <w:bottom w:val="none" w:sz="0" w:space="0" w:color="auto"/>
        <w:right w:val="none" w:sz="0" w:space="0" w:color="auto"/>
      </w:divBdr>
    </w:div>
    <w:div w:id="2054650004">
      <w:bodyDiv w:val="1"/>
      <w:marLeft w:val="0"/>
      <w:marRight w:val="0"/>
      <w:marTop w:val="0"/>
      <w:marBottom w:val="0"/>
      <w:divBdr>
        <w:top w:val="none" w:sz="0" w:space="0" w:color="auto"/>
        <w:left w:val="none" w:sz="0" w:space="0" w:color="auto"/>
        <w:bottom w:val="none" w:sz="0" w:space="0" w:color="auto"/>
        <w:right w:val="none" w:sz="0" w:space="0" w:color="auto"/>
      </w:divBdr>
      <w:divsChild>
        <w:div w:id="1076511947">
          <w:marLeft w:val="0"/>
          <w:marRight w:val="0"/>
          <w:marTop w:val="0"/>
          <w:marBottom w:val="0"/>
          <w:divBdr>
            <w:top w:val="none" w:sz="0" w:space="0" w:color="auto"/>
            <w:left w:val="none" w:sz="0" w:space="0" w:color="auto"/>
            <w:bottom w:val="none" w:sz="0" w:space="0" w:color="auto"/>
            <w:right w:val="none" w:sz="0" w:space="0" w:color="auto"/>
          </w:divBdr>
          <w:divsChild>
            <w:div w:id="217479361">
              <w:marLeft w:val="0"/>
              <w:marRight w:val="0"/>
              <w:marTop w:val="0"/>
              <w:marBottom w:val="0"/>
              <w:divBdr>
                <w:top w:val="none" w:sz="0" w:space="0" w:color="auto"/>
                <w:left w:val="none" w:sz="0" w:space="0" w:color="auto"/>
                <w:bottom w:val="none" w:sz="0" w:space="0" w:color="auto"/>
                <w:right w:val="none" w:sz="0" w:space="0" w:color="auto"/>
              </w:divBdr>
              <w:divsChild>
                <w:div w:id="21417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952">
      <w:bodyDiv w:val="1"/>
      <w:marLeft w:val="0"/>
      <w:marRight w:val="0"/>
      <w:marTop w:val="0"/>
      <w:marBottom w:val="0"/>
      <w:divBdr>
        <w:top w:val="none" w:sz="0" w:space="0" w:color="auto"/>
        <w:left w:val="none" w:sz="0" w:space="0" w:color="auto"/>
        <w:bottom w:val="none" w:sz="0" w:space="0" w:color="auto"/>
        <w:right w:val="none" w:sz="0" w:space="0" w:color="auto"/>
      </w:divBdr>
    </w:div>
    <w:div w:id="2134211028">
      <w:bodyDiv w:val="1"/>
      <w:marLeft w:val="0"/>
      <w:marRight w:val="0"/>
      <w:marTop w:val="0"/>
      <w:marBottom w:val="0"/>
      <w:divBdr>
        <w:top w:val="none" w:sz="0" w:space="0" w:color="auto"/>
        <w:left w:val="none" w:sz="0" w:space="0" w:color="auto"/>
        <w:bottom w:val="none" w:sz="0" w:space="0" w:color="auto"/>
        <w:right w:val="none" w:sz="0" w:space="0" w:color="auto"/>
      </w:divBdr>
      <w:divsChild>
        <w:div w:id="292636831">
          <w:marLeft w:val="547"/>
          <w:marRight w:val="0"/>
          <w:marTop w:val="154"/>
          <w:marBottom w:val="0"/>
          <w:divBdr>
            <w:top w:val="none" w:sz="0" w:space="0" w:color="auto"/>
            <w:left w:val="none" w:sz="0" w:space="0" w:color="auto"/>
            <w:bottom w:val="none" w:sz="0" w:space="0" w:color="auto"/>
            <w:right w:val="none" w:sz="0" w:space="0" w:color="auto"/>
          </w:divBdr>
        </w:div>
        <w:div w:id="14690112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lcuk.org.uk" TargetMode="External"/><Relationship Id="rId9" Type="http://schemas.openxmlformats.org/officeDocument/2006/relationships/image" Target="media/image1.tiff"/><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speedling@aol.com" TargetMode="External"/><Relationship Id="rId2" Type="http://schemas.openxmlformats.org/officeDocument/2006/relationships/hyperlink" Target="http://www.innovationsforqualityl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6F92-E48F-D644-8C97-CB0628A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dc:creator>
  <cp:lastModifiedBy>Barbara Speedling</cp:lastModifiedBy>
  <cp:revision>2</cp:revision>
  <cp:lastPrinted>2015-07-14T10:55:00Z</cp:lastPrinted>
  <dcterms:created xsi:type="dcterms:W3CDTF">2019-09-10T17:56:00Z</dcterms:created>
  <dcterms:modified xsi:type="dcterms:W3CDTF">2019-09-10T17:56:00Z</dcterms:modified>
</cp:coreProperties>
</file>